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1B6" w:rsidRDefault="00742752" w:rsidP="00826BA3">
      <w:pPr>
        <w:pStyle w:val="Default"/>
        <w:spacing w:line="264" w:lineRule="auto"/>
        <w:jc w:val="center"/>
        <w:rPr>
          <w:b/>
          <w:bCs/>
          <w:color w:val="000066"/>
          <w:sz w:val="22"/>
          <w:szCs w:val="22"/>
        </w:rPr>
      </w:pPr>
      <w:bookmarkStart w:id="0" w:name="_GoBack"/>
      <w:bookmarkEnd w:id="0"/>
      <w:r>
        <w:rPr>
          <w:b/>
          <w:bCs/>
          <w:noProof/>
          <w:color w:val="000066"/>
          <w:sz w:val="22"/>
          <w:szCs w:val="22"/>
        </w:rPr>
        <mc:AlternateContent>
          <mc:Choice Requires="wps">
            <w:drawing>
              <wp:anchor distT="0" distB="0" distL="114300" distR="114300" simplePos="0" relativeHeight="251657216" behindDoc="1" locked="0" layoutInCell="1" allowOverlap="1">
                <wp:simplePos x="0" y="0"/>
                <wp:positionH relativeFrom="column">
                  <wp:posOffset>-93345</wp:posOffset>
                </wp:positionH>
                <wp:positionV relativeFrom="paragraph">
                  <wp:posOffset>43180</wp:posOffset>
                </wp:positionV>
                <wp:extent cx="6156325" cy="962025"/>
                <wp:effectExtent l="11430" t="5080" r="42545" b="330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DAADC" id="AutoShape 6" o:spid="_x0000_s1026" style="position:absolute;margin-left:-7.35pt;margin-top:3.4pt;width:484.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" fillcolor="#c6d9f1">
                <v:shadow on="t" color="#1f497d" offset="3pt"/>
              </v:roundrect>
            </w:pict>
          </mc:Fallback>
        </mc:AlternateContent>
      </w:r>
    </w:p>
    <w:p w:rsidR="00386A3B" w:rsidRDefault="00386A3B" w:rsidP="00826BA3">
      <w:pPr>
        <w:pStyle w:val="Default"/>
        <w:spacing w:line="264" w:lineRule="auto"/>
        <w:jc w:val="center"/>
        <w:rPr>
          <w:b/>
          <w:bCs/>
          <w:color w:val="000066"/>
          <w:sz w:val="22"/>
          <w:szCs w:val="22"/>
        </w:rPr>
      </w:pPr>
    </w:p>
    <w:p w:rsidR="00826BA3" w:rsidRPr="00826BA3" w:rsidRDefault="00826BA3" w:rsidP="00826BA3">
      <w:pPr>
        <w:pStyle w:val="Default"/>
        <w:spacing w:line="264" w:lineRule="auto"/>
        <w:jc w:val="center"/>
        <w:rPr>
          <w:b/>
          <w:bCs/>
          <w:color w:val="000066"/>
          <w:sz w:val="22"/>
          <w:szCs w:val="22"/>
        </w:rPr>
      </w:pPr>
      <w:r w:rsidRPr="00826BA3">
        <w:rPr>
          <w:b/>
          <w:bCs/>
          <w:color w:val="000066"/>
          <w:sz w:val="22"/>
          <w:szCs w:val="22"/>
        </w:rPr>
        <w:t>CAHIER DES CHARGES POUR UNE ACTION FINANCEE SUR LE FNPEIS SUR LE THEME</w:t>
      </w:r>
    </w:p>
    <w:p w:rsidR="006E5DE8" w:rsidRPr="0006580B" w:rsidRDefault="00826BA3" w:rsidP="00826BA3">
      <w:pPr>
        <w:pStyle w:val="Default"/>
        <w:jc w:val="center"/>
        <w:rPr>
          <w:b/>
          <w:bCs/>
          <w:color w:val="auto"/>
          <w:sz w:val="22"/>
          <w:szCs w:val="22"/>
        </w:rPr>
      </w:pPr>
      <w:r w:rsidRPr="00826BA3">
        <w:rPr>
          <w:b/>
          <w:bCs/>
          <w:color w:val="000066"/>
          <w:sz w:val="22"/>
          <w:szCs w:val="22"/>
        </w:rPr>
        <w:t>D</w:t>
      </w:r>
      <w:r w:rsidR="00A83AD8">
        <w:rPr>
          <w:b/>
          <w:bCs/>
          <w:color w:val="000066"/>
          <w:sz w:val="22"/>
          <w:szCs w:val="22"/>
        </w:rPr>
        <w:t>E</w:t>
      </w:r>
      <w:r w:rsidR="00FE0DD1">
        <w:rPr>
          <w:b/>
          <w:bCs/>
          <w:color w:val="000066"/>
          <w:sz w:val="22"/>
          <w:szCs w:val="22"/>
        </w:rPr>
        <w:t>S DEPISTAGES DES CANCERS</w:t>
      </w:r>
    </w:p>
    <w:p w:rsidR="00DA3292" w:rsidRDefault="00DA3292" w:rsidP="0022454D">
      <w:pPr>
        <w:pStyle w:val="Default"/>
        <w:rPr>
          <w:bCs/>
          <w:color w:val="auto"/>
          <w:sz w:val="22"/>
          <w:szCs w:val="22"/>
        </w:rPr>
      </w:pPr>
    </w:p>
    <w:p w:rsidR="007D5EA1" w:rsidRDefault="007D5EA1" w:rsidP="0022454D">
      <w:pPr>
        <w:pStyle w:val="Default"/>
        <w:rPr>
          <w:bCs/>
          <w:color w:val="auto"/>
          <w:sz w:val="22"/>
          <w:szCs w:val="22"/>
        </w:rPr>
      </w:pPr>
    </w:p>
    <w:p w:rsidR="007D5EA1" w:rsidRDefault="007D5EA1" w:rsidP="000F4059">
      <w:pPr>
        <w:spacing w:after="60"/>
        <w:jc w:val="both"/>
      </w:pPr>
    </w:p>
    <w:p w:rsidR="006E5DE8" w:rsidRPr="00870888" w:rsidRDefault="006E5DE8"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1" w:name="_Toc532909382"/>
      <w:r w:rsidRPr="00870888">
        <w:rPr>
          <w:i w:val="0"/>
          <w:sz w:val="24"/>
        </w:rPr>
        <w:t xml:space="preserve">CONTEXTE </w:t>
      </w:r>
      <w:r w:rsidR="0087214F" w:rsidRPr="00870888">
        <w:rPr>
          <w:i w:val="0"/>
          <w:sz w:val="24"/>
        </w:rPr>
        <w:t>ET OBJECTIF</w:t>
      </w:r>
      <w:r w:rsidR="007D5970" w:rsidRPr="00870888">
        <w:rPr>
          <w:i w:val="0"/>
          <w:sz w:val="24"/>
        </w:rPr>
        <w:t>S</w:t>
      </w:r>
      <w:bookmarkEnd w:id="1"/>
    </w:p>
    <w:p w:rsidR="00D31308" w:rsidRPr="007C6715" w:rsidRDefault="00D31308" w:rsidP="00870888">
      <w:pPr>
        <w:pStyle w:val="Style1"/>
        <w:contextualSpacing/>
        <w:rPr>
          <w:sz w:val="22"/>
          <w:szCs w:val="22"/>
        </w:rPr>
      </w:pPr>
    </w:p>
    <w:p w:rsidR="00A83AD8" w:rsidRPr="007C6715" w:rsidRDefault="00A83AD8" w:rsidP="00870888">
      <w:pPr>
        <w:pStyle w:val="Style1"/>
        <w:contextualSpacing/>
        <w:rPr>
          <w:sz w:val="22"/>
          <w:szCs w:val="22"/>
          <w:u w:val="single"/>
        </w:rPr>
      </w:pPr>
      <w:bookmarkStart w:id="2" w:name="_Toc532909383"/>
      <w:r w:rsidRPr="007C6715">
        <w:rPr>
          <w:sz w:val="22"/>
          <w:szCs w:val="22"/>
          <w:u w:val="single"/>
        </w:rPr>
        <w:t>Contexte</w:t>
      </w:r>
      <w:bookmarkEnd w:id="2"/>
      <w:r w:rsidRPr="007C6715">
        <w:rPr>
          <w:sz w:val="22"/>
          <w:szCs w:val="22"/>
          <w:u w:val="single"/>
        </w:rPr>
        <w:t xml:space="preserve"> </w:t>
      </w:r>
    </w:p>
    <w:p w:rsidR="005B5D9E" w:rsidRDefault="008323C0" w:rsidP="00FE0DD1">
      <w:pPr>
        <w:spacing w:after="0" w:line="240" w:lineRule="auto"/>
        <w:jc w:val="both"/>
        <w:rPr>
          <w:sz w:val="24"/>
          <w:szCs w:val="24"/>
        </w:rPr>
      </w:pPr>
      <w:r>
        <w:rPr>
          <w:sz w:val="24"/>
          <w:szCs w:val="24"/>
        </w:rPr>
        <w:t xml:space="preserve">Deux programmes nationaux de dépistages </w:t>
      </w:r>
      <w:r w:rsidR="00D31308">
        <w:rPr>
          <w:sz w:val="24"/>
          <w:szCs w:val="24"/>
        </w:rPr>
        <w:t xml:space="preserve">organisés </w:t>
      </w:r>
      <w:r>
        <w:rPr>
          <w:sz w:val="24"/>
          <w:szCs w:val="24"/>
        </w:rPr>
        <w:t>des cancers existent actuellement : celui du cancer du sein pour les femmes de 50</w:t>
      </w:r>
      <w:r w:rsidR="000F4059">
        <w:rPr>
          <w:sz w:val="24"/>
          <w:szCs w:val="24"/>
        </w:rPr>
        <w:t xml:space="preserve"> à </w:t>
      </w:r>
      <w:r>
        <w:rPr>
          <w:sz w:val="24"/>
          <w:szCs w:val="24"/>
        </w:rPr>
        <w:t xml:space="preserve">74 ans </w:t>
      </w:r>
      <w:r w:rsidR="00091FC7">
        <w:rPr>
          <w:sz w:val="24"/>
          <w:szCs w:val="24"/>
        </w:rPr>
        <w:t xml:space="preserve">(DOCS) </w:t>
      </w:r>
      <w:r>
        <w:rPr>
          <w:sz w:val="24"/>
          <w:szCs w:val="24"/>
        </w:rPr>
        <w:t>et</w:t>
      </w:r>
      <w:r w:rsidR="00F10349">
        <w:rPr>
          <w:sz w:val="24"/>
          <w:szCs w:val="24"/>
        </w:rPr>
        <w:t xml:space="preserve"> celui du</w:t>
      </w:r>
      <w:r>
        <w:rPr>
          <w:sz w:val="24"/>
          <w:szCs w:val="24"/>
        </w:rPr>
        <w:t xml:space="preserve"> cancer </w:t>
      </w:r>
      <w:r w:rsidR="00F10349">
        <w:rPr>
          <w:sz w:val="24"/>
          <w:szCs w:val="24"/>
        </w:rPr>
        <w:t>colorectal pour les hommes et l</w:t>
      </w:r>
      <w:r>
        <w:rPr>
          <w:sz w:val="24"/>
          <w:szCs w:val="24"/>
        </w:rPr>
        <w:t>es femmes de 50</w:t>
      </w:r>
      <w:r w:rsidR="000F4059">
        <w:rPr>
          <w:sz w:val="24"/>
          <w:szCs w:val="24"/>
        </w:rPr>
        <w:t xml:space="preserve"> à </w:t>
      </w:r>
      <w:r>
        <w:rPr>
          <w:sz w:val="24"/>
          <w:szCs w:val="24"/>
        </w:rPr>
        <w:t>74 ans</w:t>
      </w:r>
      <w:r w:rsidR="00091FC7">
        <w:rPr>
          <w:sz w:val="24"/>
          <w:szCs w:val="24"/>
        </w:rPr>
        <w:t xml:space="preserve"> (DOCCR)</w:t>
      </w:r>
      <w:r>
        <w:rPr>
          <w:sz w:val="24"/>
          <w:szCs w:val="24"/>
        </w:rPr>
        <w:t xml:space="preserve">. </w:t>
      </w:r>
      <w:r w:rsidR="00A538DC">
        <w:rPr>
          <w:sz w:val="24"/>
          <w:szCs w:val="24"/>
        </w:rPr>
        <w:t>La généralisation du Dépistage Organisé du Cancer du Col de l’Utérus</w:t>
      </w:r>
      <w:r w:rsidR="00153623">
        <w:rPr>
          <w:sz w:val="24"/>
          <w:szCs w:val="24"/>
        </w:rPr>
        <w:t xml:space="preserve"> (DOCCU)</w:t>
      </w:r>
      <w:r w:rsidR="00A538DC">
        <w:rPr>
          <w:sz w:val="24"/>
          <w:szCs w:val="24"/>
        </w:rPr>
        <w:t xml:space="preserve"> sera mise en œuvre en 2019</w:t>
      </w:r>
      <w:r>
        <w:rPr>
          <w:sz w:val="24"/>
          <w:szCs w:val="24"/>
        </w:rPr>
        <w:t xml:space="preserve"> sur l’ensemble du territoire national pour </w:t>
      </w:r>
      <w:r w:rsidR="00F10349">
        <w:rPr>
          <w:sz w:val="24"/>
          <w:szCs w:val="24"/>
        </w:rPr>
        <w:t>les femmes de 25</w:t>
      </w:r>
      <w:r w:rsidR="000F4059">
        <w:rPr>
          <w:sz w:val="24"/>
          <w:szCs w:val="24"/>
        </w:rPr>
        <w:t xml:space="preserve"> à </w:t>
      </w:r>
      <w:r w:rsidR="00F10349">
        <w:rPr>
          <w:sz w:val="24"/>
          <w:szCs w:val="24"/>
        </w:rPr>
        <w:t>65 ans inclus.</w:t>
      </w:r>
    </w:p>
    <w:p w:rsidR="00C24E74" w:rsidRDefault="00C24E74" w:rsidP="00FE0DD1">
      <w:pPr>
        <w:spacing w:after="0" w:line="240" w:lineRule="auto"/>
        <w:jc w:val="both"/>
        <w:rPr>
          <w:sz w:val="24"/>
          <w:szCs w:val="24"/>
        </w:rPr>
      </w:pPr>
    </w:p>
    <w:p w:rsidR="00624DF1" w:rsidRDefault="00F10349" w:rsidP="00FE0DD1">
      <w:pPr>
        <w:spacing w:after="0" w:line="240" w:lineRule="auto"/>
        <w:jc w:val="both"/>
        <w:rPr>
          <w:sz w:val="24"/>
          <w:szCs w:val="24"/>
        </w:rPr>
      </w:pPr>
      <w:r>
        <w:rPr>
          <w:sz w:val="24"/>
          <w:szCs w:val="24"/>
        </w:rPr>
        <w:t xml:space="preserve">Les supports et </w:t>
      </w:r>
      <w:r w:rsidR="00624DF1">
        <w:rPr>
          <w:sz w:val="24"/>
          <w:szCs w:val="24"/>
        </w:rPr>
        <w:t>messages d’information et de communication mis à la disposition de la population sont élaborés par l’</w:t>
      </w:r>
      <w:r w:rsidR="00D415BC">
        <w:rPr>
          <w:sz w:val="24"/>
          <w:szCs w:val="24"/>
        </w:rPr>
        <w:t>Institut National du Cancer.</w:t>
      </w:r>
    </w:p>
    <w:p w:rsidR="00C24E74" w:rsidRDefault="00C24E74" w:rsidP="00FE0DD1">
      <w:pPr>
        <w:spacing w:after="0" w:line="240" w:lineRule="auto"/>
        <w:jc w:val="both"/>
        <w:rPr>
          <w:sz w:val="24"/>
          <w:szCs w:val="24"/>
        </w:rPr>
      </w:pPr>
    </w:p>
    <w:p w:rsidR="00624DF1" w:rsidRDefault="00624DF1" w:rsidP="00FE0DD1">
      <w:pPr>
        <w:spacing w:after="0" w:line="240" w:lineRule="auto"/>
        <w:jc w:val="both"/>
        <w:rPr>
          <w:sz w:val="24"/>
          <w:szCs w:val="24"/>
        </w:rPr>
      </w:pPr>
      <w:r>
        <w:rPr>
          <w:sz w:val="24"/>
          <w:szCs w:val="24"/>
        </w:rPr>
        <w:t>L’</w:t>
      </w:r>
      <w:r w:rsidR="00D415BC">
        <w:rPr>
          <w:sz w:val="24"/>
          <w:szCs w:val="24"/>
        </w:rPr>
        <w:t>A</w:t>
      </w:r>
      <w:r>
        <w:rPr>
          <w:sz w:val="24"/>
          <w:szCs w:val="24"/>
        </w:rPr>
        <w:t xml:space="preserve">ssurance </w:t>
      </w:r>
      <w:r w:rsidR="00D415BC">
        <w:rPr>
          <w:sz w:val="24"/>
          <w:szCs w:val="24"/>
        </w:rPr>
        <w:t>Ma</w:t>
      </w:r>
      <w:r>
        <w:rPr>
          <w:sz w:val="24"/>
          <w:szCs w:val="24"/>
        </w:rPr>
        <w:t>ladie participe à ces campagnes nationales de dépistage</w:t>
      </w:r>
      <w:r w:rsidR="000F4059">
        <w:rPr>
          <w:sz w:val="24"/>
          <w:szCs w:val="24"/>
        </w:rPr>
        <w:t xml:space="preserve"> par </w:t>
      </w:r>
      <w:r w:rsidR="00A538DC">
        <w:rPr>
          <w:sz w:val="24"/>
          <w:szCs w:val="24"/>
        </w:rPr>
        <w:t xml:space="preserve">la mise à disposition des fichiers des personnes éligibles, par </w:t>
      </w:r>
      <w:r w:rsidR="000F4059">
        <w:rPr>
          <w:sz w:val="24"/>
          <w:szCs w:val="24"/>
        </w:rPr>
        <w:t>le financement des C</w:t>
      </w:r>
      <w:r w:rsidR="00F10349">
        <w:rPr>
          <w:sz w:val="24"/>
          <w:szCs w:val="24"/>
        </w:rPr>
        <w:t>entres</w:t>
      </w:r>
      <w:r w:rsidR="000F4059">
        <w:rPr>
          <w:sz w:val="24"/>
          <w:szCs w:val="24"/>
        </w:rPr>
        <w:t xml:space="preserve"> Régionaux de Coordination des Dépistages des C</w:t>
      </w:r>
      <w:r>
        <w:rPr>
          <w:sz w:val="24"/>
          <w:szCs w:val="24"/>
        </w:rPr>
        <w:t xml:space="preserve">ancers </w:t>
      </w:r>
      <w:r w:rsidR="000F4059">
        <w:rPr>
          <w:sz w:val="24"/>
          <w:szCs w:val="24"/>
        </w:rPr>
        <w:t xml:space="preserve">(CRCDC) </w:t>
      </w:r>
      <w:r>
        <w:rPr>
          <w:sz w:val="24"/>
          <w:szCs w:val="24"/>
        </w:rPr>
        <w:t xml:space="preserve">et </w:t>
      </w:r>
      <w:r w:rsidR="00A538DC">
        <w:rPr>
          <w:sz w:val="24"/>
          <w:szCs w:val="24"/>
        </w:rPr>
        <w:t xml:space="preserve">par </w:t>
      </w:r>
      <w:r>
        <w:rPr>
          <w:sz w:val="24"/>
          <w:szCs w:val="24"/>
        </w:rPr>
        <w:t xml:space="preserve">la prise en charge à 100% des </w:t>
      </w:r>
      <w:r w:rsidR="00D31308">
        <w:rPr>
          <w:sz w:val="24"/>
          <w:szCs w:val="24"/>
        </w:rPr>
        <w:t xml:space="preserve">actes </w:t>
      </w:r>
      <w:r>
        <w:rPr>
          <w:sz w:val="24"/>
          <w:szCs w:val="24"/>
        </w:rPr>
        <w:t>de dépistage réalisés</w:t>
      </w:r>
      <w:r w:rsidR="00D31308">
        <w:rPr>
          <w:sz w:val="24"/>
          <w:szCs w:val="24"/>
        </w:rPr>
        <w:t xml:space="preserve"> (mammographie, </w:t>
      </w:r>
      <w:r w:rsidR="001F5913">
        <w:rPr>
          <w:sz w:val="24"/>
          <w:szCs w:val="24"/>
        </w:rPr>
        <w:t>kit de dépistage</w:t>
      </w:r>
      <w:r w:rsidR="00D31308">
        <w:rPr>
          <w:sz w:val="24"/>
          <w:szCs w:val="24"/>
        </w:rPr>
        <w:t>, analyse du frottis)</w:t>
      </w:r>
      <w:r>
        <w:rPr>
          <w:sz w:val="24"/>
          <w:szCs w:val="24"/>
        </w:rPr>
        <w:t xml:space="preserve">. </w:t>
      </w:r>
    </w:p>
    <w:p w:rsidR="00FC1025" w:rsidRPr="00624DF1" w:rsidRDefault="00FC1025" w:rsidP="00FE0DD1">
      <w:pPr>
        <w:spacing w:after="0" w:line="240" w:lineRule="auto"/>
        <w:jc w:val="both"/>
        <w:rPr>
          <w:sz w:val="24"/>
          <w:szCs w:val="24"/>
        </w:rPr>
      </w:pPr>
    </w:p>
    <w:p w:rsidR="00624DF1" w:rsidRPr="00624DF1" w:rsidRDefault="00F52A15" w:rsidP="00FE0DD1">
      <w:pPr>
        <w:spacing w:after="0" w:line="240" w:lineRule="auto"/>
        <w:jc w:val="both"/>
        <w:rPr>
          <w:sz w:val="24"/>
          <w:szCs w:val="24"/>
        </w:rPr>
      </w:pPr>
      <w:r>
        <w:rPr>
          <w:sz w:val="24"/>
          <w:szCs w:val="24"/>
        </w:rPr>
        <w:t>Pourtant</w:t>
      </w:r>
      <w:r w:rsidR="00F10349">
        <w:rPr>
          <w:sz w:val="24"/>
          <w:szCs w:val="24"/>
        </w:rPr>
        <w:t>,</w:t>
      </w:r>
      <w:r>
        <w:rPr>
          <w:sz w:val="24"/>
          <w:szCs w:val="24"/>
        </w:rPr>
        <w:t xml:space="preserve"> malgré cette prise en charge</w:t>
      </w:r>
      <w:r w:rsidR="00624DF1">
        <w:rPr>
          <w:sz w:val="24"/>
          <w:szCs w:val="24"/>
        </w:rPr>
        <w:t xml:space="preserve"> à 100% et l’absence d’avance de frais</w:t>
      </w:r>
      <w:r w:rsidR="00F10349">
        <w:rPr>
          <w:sz w:val="24"/>
          <w:szCs w:val="24"/>
        </w:rPr>
        <w:t xml:space="preserve">, </w:t>
      </w:r>
      <w:r w:rsidR="00C24A17">
        <w:rPr>
          <w:sz w:val="24"/>
          <w:szCs w:val="24"/>
        </w:rPr>
        <w:t>on observe des disparités</w:t>
      </w:r>
      <w:r>
        <w:rPr>
          <w:sz w:val="24"/>
          <w:szCs w:val="24"/>
        </w:rPr>
        <w:t xml:space="preserve"> </w:t>
      </w:r>
      <w:r w:rsidR="004C425F">
        <w:rPr>
          <w:sz w:val="24"/>
          <w:szCs w:val="24"/>
        </w:rPr>
        <w:t>dans les</w:t>
      </w:r>
      <w:r w:rsidR="00C24A17" w:rsidRPr="00F52A15">
        <w:rPr>
          <w:sz w:val="24"/>
          <w:szCs w:val="24"/>
        </w:rPr>
        <w:t xml:space="preserve"> </w:t>
      </w:r>
      <w:r w:rsidR="00F10349">
        <w:rPr>
          <w:sz w:val="24"/>
          <w:szCs w:val="24"/>
        </w:rPr>
        <w:t xml:space="preserve">taux de </w:t>
      </w:r>
      <w:r w:rsidR="00FC1025">
        <w:rPr>
          <w:sz w:val="24"/>
          <w:szCs w:val="24"/>
        </w:rPr>
        <w:t>participation</w:t>
      </w:r>
      <w:r w:rsidR="00F10349">
        <w:rPr>
          <w:sz w:val="24"/>
          <w:szCs w:val="24"/>
        </w:rPr>
        <w:t xml:space="preserve"> </w:t>
      </w:r>
      <w:r w:rsidR="004C425F">
        <w:rPr>
          <w:sz w:val="24"/>
          <w:szCs w:val="24"/>
        </w:rPr>
        <w:t xml:space="preserve">au </w:t>
      </w:r>
      <w:r w:rsidR="00F10349">
        <w:rPr>
          <w:sz w:val="24"/>
          <w:szCs w:val="24"/>
        </w:rPr>
        <w:t>dépistage</w:t>
      </w:r>
      <w:r>
        <w:rPr>
          <w:sz w:val="24"/>
          <w:szCs w:val="24"/>
        </w:rPr>
        <w:t xml:space="preserve"> pour ces </w:t>
      </w:r>
      <w:r w:rsidR="00624DF1" w:rsidRPr="00F52A15">
        <w:rPr>
          <w:sz w:val="24"/>
          <w:szCs w:val="24"/>
        </w:rPr>
        <w:t>cancers</w:t>
      </w:r>
      <w:r w:rsidR="00624DF1" w:rsidRPr="004C425F">
        <w:rPr>
          <w:sz w:val="24"/>
          <w:szCs w:val="24"/>
        </w:rPr>
        <w:t xml:space="preserve">. </w:t>
      </w:r>
      <w:r w:rsidR="004C425F">
        <w:rPr>
          <w:sz w:val="24"/>
          <w:szCs w:val="24"/>
        </w:rPr>
        <w:t xml:space="preserve">Celles-ci peuvent être liées à un </w:t>
      </w:r>
      <w:r w:rsidR="002F3F1C">
        <w:rPr>
          <w:sz w:val="24"/>
          <w:szCs w:val="24"/>
        </w:rPr>
        <w:t>élo</w:t>
      </w:r>
      <w:r w:rsidRPr="00624DF1">
        <w:rPr>
          <w:sz w:val="24"/>
          <w:szCs w:val="24"/>
        </w:rPr>
        <w:t>ignement</w:t>
      </w:r>
      <w:r w:rsidR="00F10349">
        <w:rPr>
          <w:sz w:val="24"/>
          <w:szCs w:val="24"/>
        </w:rPr>
        <w:t xml:space="preserve"> du système de santé </w:t>
      </w:r>
      <w:r w:rsidR="004C425F">
        <w:rPr>
          <w:sz w:val="24"/>
          <w:szCs w:val="24"/>
        </w:rPr>
        <w:t>pour des raisons</w:t>
      </w:r>
      <w:r w:rsidRPr="00624DF1">
        <w:rPr>
          <w:sz w:val="24"/>
          <w:szCs w:val="24"/>
        </w:rPr>
        <w:t xml:space="preserve"> géographiques, socia</w:t>
      </w:r>
      <w:r w:rsidR="004C425F">
        <w:rPr>
          <w:sz w:val="24"/>
          <w:szCs w:val="24"/>
        </w:rPr>
        <w:t>les</w:t>
      </w:r>
      <w:r w:rsidRPr="00624DF1">
        <w:rPr>
          <w:sz w:val="24"/>
          <w:szCs w:val="24"/>
        </w:rPr>
        <w:t xml:space="preserve"> et </w:t>
      </w:r>
      <w:r w:rsidR="005B5D9E" w:rsidRPr="00624DF1">
        <w:rPr>
          <w:sz w:val="24"/>
          <w:szCs w:val="24"/>
        </w:rPr>
        <w:t>culturel</w:t>
      </w:r>
      <w:r w:rsidR="004C425F">
        <w:rPr>
          <w:sz w:val="24"/>
          <w:szCs w:val="24"/>
        </w:rPr>
        <w:t>le</w:t>
      </w:r>
      <w:r w:rsidR="00FC1025">
        <w:rPr>
          <w:sz w:val="24"/>
          <w:szCs w:val="24"/>
        </w:rPr>
        <w:t xml:space="preserve">s </w:t>
      </w:r>
      <w:r w:rsidR="004C425F">
        <w:rPr>
          <w:sz w:val="24"/>
          <w:szCs w:val="24"/>
        </w:rPr>
        <w:t xml:space="preserve">mais également à des </w:t>
      </w:r>
      <w:r w:rsidR="002F3F1C">
        <w:rPr>
          <w:sz w:val="24"/>
          <w:szCs w:val="24"/>
        </w:rPr>
        <w:t xml:space="preserve">inégalités en termes de densité médicale et d’offre de soins. </w:t>
      </w:r>
    </w:p>
    <w:p w:rsidR="00C24E74" w:rsidRDefault="00C24E74" w:rsidP="00FE0DD1">
      <w:pPr>
        <w:spacing w:after="0" w:line="240" w:lineRule="auto"/>
        <w:jc w:val="both"/>
        <w:rPr>
          <w:sz w:val="24"/>
          <w:szCs w:val="24"/>
        </w:rPr>
      </w:pPr>
    </w:p>
    <w:p w:rsidR="00B11A90" w:rsidRDefault="00FC1025" w:rsidP="00FE0DD1">
      <w:pPr>
        <w:spacing w:after="0" w:line="240" w:lineRule="auto"/>
        <w:jc w:val="both"/>
        <w:rPr>
          <w:sz w:val="24"/>
          <w:szCs w:val="24"/>
        </w:rPr>
      </w:pPr>
      <w:r>
        <w:rPr>
          <w:sz w:val="24"/>
          <w:szCs w:val="24"/>
        </w:rPr>
        <w:t>L</w:t>
      </w:r>
      <w:r w:rsidR="00C24A17">
        <w:rPr>
          <w:sz w:val="24"/>
          <w:szCs w:val="24"/>
        </w:rPr>
        <w:t>’</w:t>
      </w:r>
      <w:r>
        <w:rPr>
          <w:sz w:val="24"/>
          <w:szCs w:val="24"/>
        </w:rPr>
        <w:t>A</w:t>
      </w:r>
      <w:r w:rsidR="00C24A17">
        <w:rPr>
          <w:sz w:val="24"/>
          <w:szCs w:val="24"/>
        </w:rPr>
        <w:t xml:space="preserve">ssurance </w:t>
      </w:r>
      <w:r>
        <w:rPr>
          <w:sz w:val="24"/>
          <w:szCs w:val="24"/>
        </w:rPr>
        <w:t>M</w:t>
      </w:r>
      <w:r w:rsidR="00C24A17">
        <w:rPr>
          <w:sz w:val="24"/>
          <w:szCs w:val="24"/>
        </w:rPr>
        <w:t xml:space="preserve">aladie </w:t>
      </w:r>
      <w:r w:rsidR="005B5D9E">
        <w:rPr>
          <w:sz w:val="24"/>
          <w:szCs w:val="24"/>
        </w:rPr>
        <w:t xml:space="preserve">souhaite promouvoir des </w:t>
      </w:r>
      <w:r w:rsidR="00DB7BAA">
        <w:rPr>
          <w:sz w:val="24"/>
          <w:szCs w:val="24"/>
        </w:rPr>
        <w:t>actions</w:t>
      </w:r>
      <w:r w:rsidR="00C24A17">
        <w:rPr>
          <w:sz w:val="24"/>
          <w:szCs w:val="24"/>
        </w:rPr>
        <w:t xml:space="preserve"> locales au </w:t>
      </w:r>
      <w:r w:rsidR="00F10349">
        <w:rPr>
          <w:sz w:val="24"/>
          <w:szCs w:val="24"/>
        </w:rPr>
        <w:t>plus près de ces</w:t>
      </w:r>
      <w:r w:rsidR="00C24A17">
        <w:rPr>
          <w:sz w:val="24"/>
          <w:szCs w:val="24"/>
        </w:rPr>
        <w:t xml:space="preserve"> populations précaires et</w:t>
      </w:r>
      <w:r w:rsidR="002F3F1C">
        <w:rPr>
          <w:sz w:val="24"/>
          <w:szCs w:val="24"/>
        </w:rPr>
        <w:t>/ou</w:t>
      </w:r>
      <w:r w:rsidR="00C24A17">
        <w:rPr>
          <w:sz w:val="24"/>
          <w:szCs w:val="24"/>
        </w:rPr>
        <w:t xml:space="preserve"> éloignées du système de santé</w:t>
      </w:r>
      <w:r>
        <w:rPr>
          <w:sz w:val="24"/>
          <w:szCs w:val="24"/>
        </w:rPr>
        <w:t xml:space="preserve"> et</w:t>
      </w:r>
      <w:r w:rsidR="000314BF">
        <w:rPr>
          <w:sz w:val="24"/>
          <w:szCs w:val="24"/>
        </w:rPr>
        <w:t xml:space="preserve"> réaffirm</w:t>
      </w:r>
      <w:r w:rsidR="00A538DC">
        <w:rPr>
          <w:sz w:val="24"/>
          <w:szCs w:val="24"/>
        </w:rPr>
        <w:t>er</w:t>
      </w:r>
      <w:r w:rsidR="000314BF">
        <w:rPr>
          <w:sz w:val="24"/>
          <w:szCs w:val="24"/>
        </w:rPr>
        <w:t xml:space="preserve"> son engagement dans la promotion</w:t>
      </w:r>
      <w:r w:rsidR="00F10349">
        <w:rPr>
          <w:sz w:val="24"/>
          <w:szCs w:val="24"/>
        </w:rPr>
        <w:t xml:space="preserve"> d’actions ciblées en appui des</w:t>
      </w:r>
      <w:r w:rsidR="000314BF">
        <w:rPr>
          <w:sz w:val="24"/>
          <w:szCs w:val="24"/>
        </w:rPr>
        <w:t xml:space="preserve"> programmes nationaux de dépistage organisé des cancers </w:t>
      </w:r>
      <w:r w:rsidR="004B005E">
        <w:rPr>
          <w:sz w:val="24"/>
          <w:szCs w:val="24"/>
        </w:rPr>
        <w:t>(</w:t>
      </w:r>
      <w:r w:rsidR="000314BF">
        <w:rPr>
          <w:sz w:val="24"/>
          <w:szCs w:val="24"/>
        </w:rPr>
        <w:t>COG 2018-2022.</w:t>
      </w:r>
      <w:r w:rsidR="004B005E">
        <w:rPr>
          <w:sz w:val="24"/>
          <w:szCs w:val="24"/>
        </w:rPr>
        <w:t>)</w:t>
      </w:r>
    </w:p>
    <w:p w:rsidR="00B11A90" w:rsidRDefault="00B11A90" w:rsidP="00FE0DD1">
      <w:pPr>
        <w:spacing w:after="0" w:line="240" w:lineRule="auto"/>
        <w:jc w:val="both"/>
        <w:rPr>
          <w:sz w:val="24"/>
          <w:szCs w:val="24"/>
        </w:rPr>
      </w:pPr>
    </w:p>
    <w:p w:rsidR="00031FAA" w:rsidRDefault="00031FAA" w:rsidP="00FE0DD1">
      <w:pPr>
        <w:spacing w:after="0" w:line="240" w:lineRule="auto"/>
        <w:jc w:val="both"/>
        <w:rPr>
          <w:sz w:val="24"/>
          <w:szCs w:val="24"/>
        </w:rPr>
      </w:pPr>
      <w:r>
        <w:rPr>
          <w:sz w:val="24"/>
          <w:szCs w:val="24"/>
        </w:rPr>
        <w:t>Pour</w:t>
      </w:r>
      <w:r w:rsidR="00532D37">
        <w:rPr>
          <w:sz w:val="24"/>
          <w:szCs w:val="24"/>
        </w:rPr>
        <w:t xml:space="preserve"> rappel, les Centres Régionaux d</w:t>
      </w:r>
      <w:r>
        <w:rPr>
          <w:sz w:val="24"/>
          <w:szCs w:val="24"/>
        </w:rPr>
        <w:t>e Coordination des Dépistages des Cancers ont pour mission de piloter</w:t>
      </w:r>
      <w:r w:rsidR="00BA3EDB">
        <w:rPr>
          <w:sz w:val="24"/>
          <w:szCs w:val="24"/>
        </w:rPr>
        <w:t xml:space="preserve"> et coordonner</w:t>
      </w:r>
      <w:r>
        <w:rPr>
          <w:sz w:val="24"/>
          <w:szCs w:val="24"/>
        </w:rPr>
        <w:t>, à l’échelon régional, les programmes nationaux de dépistage</w:t>
      </w:r>
      <w:r w:rsidR="002F3F1C">
        <w:rPr>
          <w:sz w:val="24"/>
          <w:szCs w:val="24"/>
        </w:rPr>
        <w:t>s</w:t>
      </w:r>
      <w:r>
        <w:rPr>
          <w:sz w:val="24"/>
          <w:szCs w:val="24"/>
        </w:rPr>
        <w:t xml:space="preserve"> organisé</w:t>
      </w:r>
      <w:r w:rsidR="002F3F1C">
        <w:rPr>
          <w:sz w:val="24"/>
          <w:szCs w:val="24"/>
        </w:rPr>
        <w:t>s</w:t>
      </w:r>
      <w:r>
        <w:rPr>
          <w:sz w:val="24"/>
          <w:szCs w:val="24"/>
        </w:rPr>
        <w:t xml:space="preserve"> des cancers</w:t>
      </w:r>
      <w:r w:rsidR="00D4107F">
        <w:rPr>
          <w:sz w:val="24"/>
          <w:szCs w:val="24"/>
        </w:rPr>
        <w:t xml:space="preserve">. </w:t>
      </w:r>
      <w:r w:rsidR="00A538DC">
        <w:rPr>
          <w:sz w:val="24"/>
          <w:szCs w:val="24"/>
        </w:rPr>
        <w:t>Il</w:t>
      </w:r>
      <w:r w:rsidR="00D4107F">
        <w:rPr>
          <w:sz w:val="24"/>
          <w:szCs w:val="24"/>
        </w:rPr>
        <w:t>s mènent en lien avec les partenaires et acteurs locaux les actions de lutte contre les inégalités d’accès et de recours au dépistage notamment dans la mobilisation des populations ciblées. Ils s’assurent de la construction des actions de communication, la coordination, la cohérence et l’homogénéité de l’in</w:t>
      </w:r>
      <w:r w:rsidR="00B11A90">
        <w:rPr>
          <w:sz w:val="24"/>
          <w:szCs w:val="24"/>
        </w:rPr>
        <w:t>formation délivrée localement.</w:t>
      </w:r>
    </w:p>
    <w:p w:rsidR="00C41187" w:rsidRDefault="00C41187" w:rsidP="00A538DC">
      <w:pPr>
        <w:spacing w:after="0" w:line="240" w:lineRule="auto"/>
        <w:jc w:val="both"/>
      </w:pPr>
    </w:p>
    <w:p w:rsidR="001A1D37" w:rsidRDefault="00532D37" w:rsidP="00764415">
      <w:pPr>
        <w:spacing w:after="0" w:line="240" w:lineRule="auto"/>
        <w:jc w:val="both"/>
        <w:rPr>
          <w:sz w:val="24"/>
          <w:szCs w:val="24"/>
        </w:rPr>
      </w:pPr>
      <w:r>
        <w:rPr>
          <w:sz w:val="24"/>
          <w:szCs w:val="24"/>
        </w:rPr>
        <w:t>En complément des actions des CRCDC, l’</w:t>
      </w:r>
      <w:r w:rsidR="00153623">
        <w:rPr>
          <w:sz w:val="24"/>
          <w:szCs w:val="24"/>
        </w:rPr>
        <w:t>A</w:t>
      </w:r>
      <w:r>
        <w:rPr>
          <w:sz w:val="24"/>
          <w:szCs w:val="24"/>
        </w:rPr>
        <w:t xml:space="preserve">ssurance </w:t>
      </w:r>
      <w:r w:rsidR="00153623">
        <w:rPr>
          <w:sz w:val="24"/>
          <w:szCs w:val="24"/>
        </w:rPr>
        <w:t>M</w:t>
      </w:r>
      <w:r>
        <w:rPr>
          <w:sz w:val="24"/>
          <w:szCs w:val="24"/>
        </w:rPr>
        <w:t>aladie souhaite accompagner</w:t>
      </w:r>
      <w:r w:rsidR="00A538DC">
        <w:rPr>
          <w:sz w:val="24"/>
          <w:szCs w:val="24"/>
        </w:rPr>
        <w:t xml:space="preserve"> et </w:t>
      </w:r>
      <w:r w:rsidR="00905E31" w:rsidRPr="00F10349">
        <w:rPr>
          <w:sz w:val="24"/>
          <w:szCs w:val="24"/>
        </w:rPr>
        <w:t>renforcer les dispositifs nationaux</w:t>
      </w:r>
      <w:r>
        <w:rPr>
          <w:sz w:val="24"/>
          <w:szCs w:val="24"/>
        </w:rPr>
        <w:t xml:space="preserve">. </w:t>
      </w:r>
    </w:p>
    <w:p w:rsidR="00905E31" w:rsidRDefault="00532D37" w:rsidP="00764415">
      <w:pPr>
        <w:spacing w:after="0" w:line="240" w:lineRule="auto"/>
        <w:jc w:val="both"/>
        <w:rPr>
          <w:sz w:val="24"/>
          <w:szCs w:val="24"/>
        </w:rPr>
      </w:pPr>
      <w:r>
        <w:rPr>
          <w:sz w:val="24"/>
          <w:szCs w:val="24"/>
        </w:rPr>
        <w:lastRenderedPageBreak/>
        <w:t>L</w:t>
      </w:r>
      <w:r w:rsidR="00905E31" w:rsidRPr="00F10349">
        <w:rPr>
          <w:sz w:val="24"/>
          <w:szCs w:val="24"/>
        </w:rPr>
        <w:t>es promoteurs pourront proposer des actions à développer au niveau local dont les objectifs seront :</w:t>
      </w:r>
    </w:p>
    <w:p w:rsidR="00F43C8B" w:rsidRDefault="00F43C8B" w:rsidP="000F4059">
      <w:pPr>
        <w:numPr>
          <w:ilvl w:val="0"/>
          <w:numId w:val="9"/>
        </w:numPr>
        <w:spacing w:after="0" w:line="240" w:lineRule="auto"/>
        <w:ind w:left="426"/>
        <w:jc w:val="both"/>
        <w:rPr>
          <w:sz w:val="24"/>
          <w:szCs w:val="24"/>
        </w:rPr>
      </w:pPr>
      <w:r>
        <w:rPr>
          <w:sz w:val="24"/>
          <w:szCs w:val="24"/>
        </w:rPr>
        <w:t>Augmenter les connaissances du public sur les facteurs de risque des cancers du sein, colorectal et col de l’utérus</w:t>
      </w:r>
      <w:r w:rsidR="00F94EFF">
        <w:rPr>
          <w:sz w:val="24"/>
          <w:szCs w:val="24"/>
        </w:rPr>
        <w:t> ;</w:t>
      </w:r>
    </w:p>
    <w:p w:rsidR="00D31308" w:rsidRPr="00F10349" w:rsidRDefault="00D31308" w:rsidP="000F4059">
      <w:pPr>
        <w:numPr>
          <w:ilvl w:val="0"/>
          <w:numId w:val="9"/>
        </w:numPr>
        <w:spacing w:after="0" w:line="240" w:lineRule="auto"/>
        <w:ind w:left="426"/>
        <w:jc w:val="both"/>
        <w:rPr>
          <w:sz w:val="24"/>
          <w:szCs w:val="24"/>
        </w:rPr>
      </w:pPr>
      <w:r w:rsidRPr="00F10349">
        <w:rPr>
          <w:sz w:val="24"/>
          <w:szCs w:val="24"/>
        </w:rPr>
        <w:t xml:space="preserve">Permettre la compréhension des informations sur l’intérêt du dépistage de </w:t>
      </w:r>
      <w:r w:rsidR="001A1D37">
        <w:rPr>
          <w:sz w:val="24"/>
          <w:szCs w:val="24"/>
        </w:rPr>
        <w:t>c</w:t>
      </w:r>
      <w:r w:rsidRPr="00F10349">
        <w:rPr>
          <w:sz w:val="24"/>
          <w:szCs w:val="24"/>
        </w:rPr>
        <w:t>es cancers</w:t>
      </w:r>
      <w:r>
        <w:rPr>
          <w:sz w:val="24"/>
          <w:szCs w:val="24"/>
        </w:rPr>
        <w:t> ;</w:t>
      </w:r>
    </w:p>
    <w:p w:rsidR="00D31308" w:rsidRPr="00F10349" w:rsidRDefault="00D31308" w:rsidP="000F4059">
      <w:pPr>
        <w:numPr>
          <w:ilvl w:val="0"/>
          <w:numId w:val="9"/>
        </w:numPr>
        <w:spacing w:after="0" w:line="240" w:lineRule="auto"/>
        <w:ind w:left="426"/>
        <w:jc w:val="both"/>
        <w:rPr>
          <w:sz w:val="24"/>
          <w:szCs w:val="24"/>
        </w:rPr>
      </w:pPr>
      <w:r w:rsidRPr="00F10349">
        <w:rPr>
          <w:sz w:val="24"/>
          <w:szCs w:val="24"/>
        </w:rPr>
        <w:t>Aider à identif</w:t>
      </w:r>
      <w:r>
        <w:rPr>
          <w:sz w:val="24"/>
          <w:szCs w:val="24"/>
        </w:rPr>
        <w:t>ier les différents acteurs du dépistage organisé</w:t>
      </w:r>
      <w:r w:rsidRPr="00F10349">
        <w:rPr>
          <w:sz w:val="24"/>
          <w:szCs w:val="24"/>
        </w:rPr>
        <w:t xml:space="preserve"> sur le territoire</w:t>
      </w:r>
      <w:r>
        <w:rPr>
          <w:sz w:val="24"/>
          <w:szCs w:val="24"/>
        </w:rPr>
        <w:t xml:space="preserve"> en informant notamment </w:t>
      </w:r>
      <w:r w:rsidR="00C400D0">
        <w:rPr>
          <w:sz w:val="24"/>
          <w:szCs w:val="24"/>
        </w:rPr>
        <w:t xml:space="preserve">la population des </w:t>
      </w:r>
      <w:r>
        <w:rPr>
          <w:sz w:val="24"/>
          <w:szCs w:val="24"/>
        </w:rPr>
        <w:t>professionnels de santé réalisant les actes de dé</w:t>
      </w:r>
      <w:r w:rsidR="00C400D0">
        <w:rPr>
          <w:sz w:val="24"/>
          <w:szCs w:val="24"/>
        </w:rPr>
        <w:t>pistage</w:t>
      </w:r>
      <w:r>
        <w:rPr>
          <w:sz w:val="24"/>
          <w:szCs w:val="24"/>
        </w:rPr>
        <w:t> ;</w:t>
      </w:r>
    </w:p>
    <w:p w:rsidR="008D7225" w:rsidRDefault="005D127D" w:rsidP="000F4059">
      <w:pPr>
        <w:numPr>
          <w:ilvl w:val="0"/>
          <w:numId w:val="9"/>
        </w:numPr>
        <w:spacing w:after="0" w:line="240" w:lineRule="auto"/>
        <w:ind w:left="426"/>
        <w:jc w:val="both"/>
        <w:rPr>
          <w:sz w:val="24"/>
          <w:szCs w:val="24"/>
        </w:rPr>
      </w:pPr>
      <w:r>
        <w:rPr>
          <w:sz w:val="24"/>
          <w:szCs w:val="24"/>
        </w:rPr>
        <w:t xml:space="preserve">Soutenir et accompagner le changement de comportement des populations éloignées des recommandations de dépistage de ces cancers, en incitant à la réflexion et remise en question des </w:t>
      </w:r>
      <w:r w:rsidR="002F184E">
        <w:rPr>
          <w:sz w:val="24"/>
          <w:szCs w:val="24"/>
        </w:rPr>
        <w:t xml:space="preserve">idées </w:t>
      </w:r>
      <w:r>
        <w:rPr>
          <w:sz w:val="24"/>
          <w:szCs w:val="24"/>
        </w:rPr>
        <w:t>reçues sur le cancer et le dépistage</w:t>
      </w:r>
      <w:r w:rsidR="00F94EFF">
        <w:rPr>
          <w:sz w:val="24"/>
          <w:szCs w:val="24"/>
        </w:rPr>
        <w:t> ;</w:t>
      </w:r>
    </w:p>
    <w:p w:rsidR="005D127D" w:rsidRPr="005D127D" w:rsidRDefault="005D127D" w:rsidP="000F4059">
      <w:pPr>
        <w:numPr>
          <w:ilvl w:val="0"/>
          <w:numId w:val="9"/>
        </w:numPr>
        <w:spacing w:after="0" w:line="240" w:lineRule="auto"/>
        <w:ind w:left="426"/>
        <w:jc w:val="both"/>
        <w:rPr>
          <w:sz w:val="24"/>
          <w:szCs w:val="24"/>
        </w:rPr>
      </w:pPr>
      <w:r>
        <w:rPr>
          <w:sz w:val="24"/>
          <w:szCs w:val="24"/>
        </w:rPr>
        <w:t xml:space="preserve">Créer et renforcer le réseau partenarial avec les acteurs identifiés sur les territoires </w:t>
      </w:r>
      <w:r w:rsidR="00C400D0">
        <w:rPr>
          <w:sz w:val="24"/>
          <w:szCs w:val="24"/>
        </w:rPr>
        <w:t>ciblés.</w:t>
      </w:r>
    </w:p>
    <w:p w:rsidR="008323C0" w:rsidRDefault="008323C0" w:rsidP="00F10349">
      <w:pPr>
        <w:spacing w:after="0" w:line="240" w:lineRule="auto"/>
        <w:rPr>
          <w:sz w:val="24"/>
          <w:szCs w:val="24"/>
        </w:rPr>
      </w:pPr>
    </w:p>
    <w:p w:rsidR="002B4B88" w:rsidRPr="00870888" w:rsidRDefault="006E5DE8" w:rsidP="000F4059">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120"/>
        <w:rPr>
          <w:i w:val="0"/>
          <w:sz w:val="24"/>
        </w:rPr>
      </w:pPr>
      <w:bookmarkStart w:id="3" w:name="_Toc532909384"/>
      <w:r w:rsidRPr="00870888">
        <w:rPr>
          <w:i w:val="0"/>
          <w:sz w:val="24"/>
        </w:rPr>
        <w:t xml:space="preserve">LE CHAMP DES </w:t>
      </w:r>
      <w:r w:rsidR="002B4B88" w:rsidRPr="00870888">
        <w:rPr>
          <w:i w:val="0"/>
          <w:sz w:val="24"/>
        </w:rPr>
        <w:t>ACTIONS</w:t>
      </w:r>
      <w:bookmarkEnd w:id="3"/>
      <w:r w:rsidRPr="00870888">
        <w:rPr>
          <w:i w:val="0"/>
          <w:sz w:val="24"/>
        </w:rPr>
        <w:t xml:space="preserve"> </w:t>
      </w:r>
    </w:p>
    <w:p w:rsidR="00B21609" w:rsidRDefault="00B21609" w:rsidP="00F10349">
      <w:pPr>
        <w:pStyle w:val="Default"/>
        <w:jc w:val="both"/>
        <w:rPr>
          <w:sz w:val="22"/>
          <w:szCs w:val="22"/>
          <w:u w:val="single"/>
        </w:rPr>
      </w:pPr>
    </w:p>
    <w:p w:rsidR="00C41187" w:rsidRDefault="009C4364" w:rsidP="00C33260">
      <w:pPr>
        <w:pStyle w:val="Default"/>
        <w:spacing w:before="60"/>
        <w:jc w:val="both"/>
      </w:pPr>
      <w:r>
        <w:t>Les actions proposées d</w:t>
      </w:r>
      <w:r w:rsidR="004958A8" w:rsidRPr="006600C0">
        <w:t>oivent</w:t>
      </w:r>
      <w:r w:rsidR="00870888" w:rsidRPr="006600C0">
        <w:t xml:space="preserve"> répondre à des besoins identifiés en lien avec les partenaires locaux et les priorités retenues en région</w:t>
      </w:r>
      <w:r w:rsidR="000F1884">
        <w:t xml:space="preserve"> </w:t>
      </w:r>
      <w:r w:rsidR="00870888" w:rsidRPr="006600C0">
        <w:t xml:space="preserve">et être en cohérence avec les autres actions mises en œuvre au sein d’un </w:t>
      </w:r>
      <w:r w:rsidR="00AF5687" w:rsidRPr="006600C0">
        <w:t xml:space="preserve">territoire. </w:t>
      </w:r>
      <w:r w:rsidR="00442617">
        <w:t>Il est nécessaire que soit pris</w:t>
      </w:r>
      <w:r w:rsidR="002F3F1C">
        <w:t>es</w:t>
      </w:r>
      <w:r w:rsidR="00442617">
        <w:t xml:space="preserve"> en compte les disparités médicales par canton/commune afin de cibler les actions locales sur ces populations. </w:t>
      </w:r>
    </w:p>
    <w:p w:rsidR="00B43A73" w:rsidRPr="006600C0" w:rsidRDefault="00B43A73" w:rsidP="00764415">
      <w:pPr>
        <w:pStyle w:val="Default"/>
        <w:spacing w:before="60"/>
        <w:jc w:val="both"/>
      </w:pPr>
    </w:p>
    <w:p w:rsidR="00FE0DD1" w:rsidRDefault="00073255" w:rsidP="000F4059">
      <w:pPr>
        <w:pStyle w:val="Default"/>
        <w:numPr>
          <w:ilvl w:val="0"/>
          <w:numId w:val="13"/>
        </w:numPr>
        <w:ind w:hanging="720"/>
        <w:jc w:val="both"/>
        <w:rPr>
          <w:u w:val="single"/>
        </w:rPr>
      </w:pPr>
      <w:r w:rsidRPr="006600C0">
        <w:rPr>
          <w:u w:val="single"/>
        </w:rPr>
        <w:t>Les populations</w:t>
      </w:r>
      <w:r w:rsidR="006060D1">
        <w:rPr>
          <w:u w:val="single"/>
        </w:rPr>
        <w:t>-</w:t>
      </w:r>
      <w:r w:rsidRPr="006600C0">
        <w:rPr>
          <w:u w:val="single"/>
        </w:rPr>
        <w:t>cible</w:t>
      </w:r>
      <w:r w:rsidR="004A211D">
        <w:rPr>
          <w:u w:val="single"/>
        </w:rPr>
        <w:t>s</w:t>
      </w:r>
    </w:p>
    <w:p w:rsidR="00B43A73" w:rsidRPr="00764415" w:rsidRDefault="00B43A73" w:rsidP="000F4059">
      <w:pPr>
        <w:spacing w:before="60" w:after="0" w:line="240" w:lineRule="auto"/>
        <w:jc w:val="both"/>
        <w:rPr>
          <w:sz w:val="24"/>
          <w:szCs w:val="24"/>
          <w:lang w:eastAsia="fr-FR"/>
        </w:rPr>
      </w:pPr>
    </w:p>
    <w:p w:rsidR="001A1D37" w:rsidRPr="00125823" w:rsidRDefault="001A1D37" w:rsidP="00B43A73">
      <w:pPr>
        <w:numPr>
          <w:ilvl w:val="0"/>
          <w:numId w:val="17"/>
        </w:numPr>
        <w:spacing w:before="60" w:after="0" w:line="240" w:lineRule="auto"/>
        <w:jc w:val="both"/>
        <w:rPr>
          <w:b/>
          <w:sz w:val="24"/>
          <w:szCs w:val="24"/>
          <w:lang w:eastAsia="fr-FR"/>
        </w:rPr>
      </w:pPr>
      <w:r w:rsidRPr="00125823">
        <w:rPr>
          <w:b/>
          <w:sz w:val="24"/>
          <w:szCs w:val="24"/>
          <w:lang w:eastAsia="fr-FR"/>
        </w:rPr>
        <w:t>Dépistage Organisé du Cancer du Sein</w:t>
      </w:r>
    </w:p>
    <w:p w:rsidR="00C24E74" w:rsidRDefault="00AE7CA0" w:rsidP="007C6715">
      <w:pPr>
        <w:spacing w:before="60" w:after="0" w:line="240" w:lineRule="auto"/>
        <w:jc w:val="both"/>
        <w:rPr>
          <w:sz w:val="24"/>
          <w:szCs w:val="24"/>
          <w:lang w:eastAsia="fr-FR"/>
        </w:rPr>
      </w:pPr>
      <w:r w:rsidRPr="00764415">
        <w:rPr>
          <w:sz w:val="24"/>
          <w:szCs w:val="24"/>
          <w:lang w:eastAsia="fr-FR"/>
        </w:rPr>
        <w:t xml:space="preserve">Les femmes éligibles au DOCS sont les femmes </w:t>
      </w:r>
      <w:r w:rsidR="00E35DA0" w:rsidRPr="00764415">
        <w:rPr>
          <w:sz w:val="24"/>
          <w:szCs w:val="24"/>
          <w:lang w:eastAsia="fr-FR"/>
        </w:rPr>
        <w:t>âgées de 50 à 74 ans à risque moyen, c’est-à-dire sans symptôme apparent ni facteur de risque particulier</w:t>
      </w:r>
      <w:r w:rsidR="004B005E">
        <w:rPr>
          <w:sz w:val="24"/>
          <w:szCs w:val="24"/>
          <w:lang w:eastAsia="fr-FR"/>
        </w:rPr>
        <w:t xml:space="preserve"> en dehors de l’</w:t>
      </w:r>
      <w:r w:rsidR="002F3F1C">
        <w:rPr>
          <w:sz w:val="24"/>
          <w:szCs w:val="24"/>
          <w:lang w:eastAsia="fr-FR"/>
        </w:rPr>
        <w:t>â</w:t>
      </w:r>
      <w:r w:rsidR="004B005E">
        <w:rPr>
          <w:sz w:val="24"/>
          <w:szCs w:val="24"/>
          <w:lang w:eastAsia="fr-FR"/>
        </w:rPr>
        <w:t>ge</w:t>
      </w:r>
      <w:r w:rsidRPr="00764415">
        <w:rPr>
          <w:sz w:val="24"/>
          <w:szCs w:val="24"/>
          <w:lang w:eastAsia="fr-FR"/>
        </w:rPr>
        <w:t>. Elles</w:t>
      </w:r>
      <w:r w:rsidR="001923AD" w:rsidRPr="00764415">
        <w:rPr>
          <w:sz w:val="24"/>
          <w:szCs w:val="24"/>
          <w:lang w:eastAsia="fr-FR"/>
        </w:rPr>
        <w:t xml:space="preserve"> </w:t>
      </w:r>
      <w:r w:rsidR="00E35DA0" w:rsidRPr="00764415">
        <w:rPr>
          <w:sz w:val="24"/>
          <w:szCs w:val="24"/>
          <w:lang w:eastAsia="fr-FR"/>
        </w:rPr>
        <w:t>sont invitées tous les deux ans à réaliser une mammographie et un examen clinique des seins auprès d’un radiologue agréé</w:t>
      </w:r>
      <w:r w:rsidR="007C6715">
        <w:rPr>
          <w:sz w:val="24"/>
          <w:szCs w:val="24"/>
          <w:lang w:eastAsia="fr-FR"/>
        </w:rPr>
        <w:t>.</w:t>
      </w:r>
    </w:p>
    <w:p w:rsidR="00C24E74" w:rsidRDefault="00C24E74" w:rsidP="007C6715">
      <w:pPr>
        <w:spacing w:before="60" w:after="0" w:line="240" w:lineRule="auto"/>
        <w:jc w:val="both"/>
        <w:rPr>
          <w:sz w:val="24"/>
          <w:szCs w:val="24"/>
          <w:lang w:eastAsia="fr-FR"/>
        </w:rPr>
      </w:pPr>
    </w:p>
    <w:p w:rsidR="001A1D37" w:rsidRPr="00125823" w:rsidRDefault="001A1D37" w:rsidP="00742752">
      <w:pPr>
        <w:numPr>
          <w:ilvl w:val="0"/>
          <w:numId w:val="17"/>
        </w:numPr>
        <w:spacing w:before="60" w:after="0" w:line="240" w:lineRule="auto"/>
        <w:jc w:val="both"/>
        <w:rPr>
          <w:b/>
          <w:sz w:val="24"/>
          <w:szCs w:val="24"/>
          <w:lang w:eastAsia="fr-FR"/>
        </w:rPr>
      </w:pPr>
      <w:r w:rsidRPr="00125823">
        <w:rPr>
          <w:b/>
          <w:sz w:val="24"/>
          <w:szCs w:val="24"/>
          <w:lang w:eastAsia="fr-FR"/>
        </w:rPr>
        <w:t xml:space="preserve">Dépistage Organisé du Cancer </w:t>
      </w:r>
      <w:r w:rsidR="00AE7CA0" w:rsidRPr="00125823">
        <w:rPr>
          <w:b/>
          <w:sz w:val="24"/>
          <w:szCs w:val="24"/>
          <w:lang w:eastAsia="fr-FR"/>
        </w:rPr>
        <w:t>Colorectal</w:t>
      </w:r>
    </w:p>
    <w:p w:rsidR="001923AD" w:rsidRPr="00764415" w:rsidRDefault="00AE7CA0" w:rsidP="000F4059">
      <w:pPr>
        <w:spacing w:before="60" w:after="0" w:line="240" w:lineRule="auto"/>
        <w:jc w:val="both"/>
        <w:rPr>
          <w:sz w:val="24"/>
          <w:szCs w:val="24"/>
          <w:lang w:eastAsia="fr-FR"/>
        </w:rPr>
      </w:pPr>
      <w:r w:rsidRPr="00764415">
        <w:rPr>
          <w:sz w:val="24"/>
          <w:szCs w:val="24"/>
          <w:lang w:eastAsia="fr-FR"/>
        </w:rPr>
        <w:t>L</w:t>
      </w:r>
      <w:r w:rsidR="00B43A73" w:rsidRPr="00764415">
        <w:rPr>
          <w:sz w:val="24"/>
          <w:szCs w:val="24"/>
          <w:lang w:eastAsia="fr-FR"/>
        </w:rPr>
        <w:t>e</w:t>
      </w:r>
      <w:r w:rsidRPr="00764415">
        <w:rPr>
          <w:sz w:val="24"/>
          <w:szCs w:val="24"/>
          <w:lang w:eastAsia="fr-FR"/>
        </w:rPr>
        <w:t>s personnes éligibles au DOCCR sont les</w:t>
      </w:r>
      <w:r w:rsidR="001923AD" w:rsidRPr="00764415">
        <w:rPr>
          <w:sz w:val="24"/>
          <w:szCs w:val="24"/>
          <w:lang w:eastAsia="fr-FR"/>
        </w:rPr>
        <w:t xml:space="preserve"> hommes et les femmes de 50 à 74 ans, asymptomatiques</w:t>
      </w:r>
      <w:r w:rsidRPr="00764415">
        <w:rPr>
          <w:sz w:val="24"/>
          <w:szCs w:val="24"/>
          <w:lang w:eastAsia="fr-FR"/>
        </w:rPr>
        <w:t>,</w:t>
      </w:r>
      <w:r w:rsidR="001923AD" w:rsidRPr="00764415">
        <w:rPr>
          <w:sz w:val="24"/>
          <w:szCs w:val="24"/>
          <w:lang w:eastAsia="fr-FR"/>
        </w:rPr>
        <w:t xml:space="preserve"> à risque moyen de cancer colorectal</w:t>
      </w:r>
      <w:r w:rsidRPr="00764415">
        <w:rPr>
          <w:sz w:val="24"/>
          <w:szCs w:val="24"/>
          <w:lang w:eastAsia="fr-FR"/>
        </w:rPr>
        <w:t xml:space="preserve">. Elles </w:t>
      </w:r>
      <w:r w:rsidR="001923AD" w:rsidRPr="00764415">
        <w:rPr>
          <w:sz w:val="24"/>
          <w:szCs w:val="24"/>
          <w:lang w:eastAsia="fr-FR"/>
        </w:rPr>
        <w:t xml:space="preserve"> sont invitées tous les deux ans à réaliser un test immunologique de dépistage</w:t>
      </w:r>
      <w:r w:rsidR="00122BFE" w:rsidRPr="00764415">
        <w:rPr>
          <w:sz w:val="24"/>
          <w:szCs w:val="24"/>
          <w:lang w:eastAsia="fr-FR"/>
        </w:rPr>
        <w:t>.</w:t>
      </w:r>
    </w:p>
    <w:p w:rsidR="001923AD" w:rsidRPr="00764415" w:rsidRDefault="001923AD" w:rsidP="000F4059">
      <w:pPr>
        <w:spacing w:before="60" w:after="0" w:line="240" w:lineRule="auto"/>
        <w:jc w:val="both"/>
        <w:rPr>
          <w:sz w:val="24"/>
          <w:szCs w:val="24"/>
          <w:lang w:eastAsia="fr-FR"/>
        </w:rPr>
      </w:pPr>
    </w:p>
    <w:p w:rsidR="00AE7CA0" w:rsidRPr="00125823" w:rsidRDefault="00AE7CA0" w:rsidP="00B43A73">
      <w:pPr>
        <w:numPr>
          <w:ilvl w:val="0"/>
          <w:numId w:val="17"/>
        </w:numPr>
        <w:spacing w:before="60" w:after="0" w:line="240" w:lineRule="auto"/>
        <w:jc w:val="both"/>
        <w:rPr>
          <w:b/>
          <w:sz w:val="24"/>
          <w:szCs w:val="24"/>
          <w:lang w:eastAsia="fr-FR"/>
        </w:rPr>
      </w:pPr>
      <w:r w:rsidRPr="00125823">
        <w:rPr>
          <w:b/>
          <w:sz w:val="24"/>
          <w:szCs w:val="24"/>
          <w:lang w:eastAsia="fr-FR"/>
        </w:rPr>
        <w:t xml:space="preserve">Dépistage Organisé du Cancer du Col de l’Utérus </w:t>
      </w:r>
    </w:p>
    <w:p w:rsidR="001923AD" w:rsidRPr="00764415" w:rsidRDefault="008C25BF" w:rsidP="000F4059">
      <w:pPr>
        <w:spacing w:before="60" w:after="0" w:line="240" w:lineRule="auto"/>
        <w:jc w:val="both"/>
        <w:rPr>
          <w:sz w:val="24"/>
          <w:szCs w:val="24"/>
        </w:rPr>
      </w:pPr>
      <w:r w:rsidRPr="00764415">
        <w:rPr>
          <w:sz w:val="24"/>
          <w:szCs w:val="24"/>
          <w:lang w:eastAsia="fr-FR"/>
        </w:rPr>
        <w:t>L</w:t>
      </w:r>
      <w:r w:rsidR="00AE426E" w:rsidRPr="00764415">
        <w:rPr>
          <w:sz w:val="24"/>
          <w:szCs w:val="24"/>
          <w:lang w:eastAsia="fr-FR"/>
        </w:rPr>
        <w:t>a Haute Autorité de santé (HAS) recommande depuis 2010, la réalisation d’un frottis cervico-utérin pour les femmes de 25 à 65 ans tous les 3 ans après deux frottis cervico-utérin normaux à un an d’intervalle. Seule cette population est éligible aux actions locales relatives au dépistage du cancer du col de l’utérus.</w:t>
      </w:r>
    </w:p>
    <w:p w:rsidR="00764415" w:rsidRPr="00764415" w:rsidRDefault="00764415" w:rsidP="000F4059">
      <w:pPr>
        <w:spacing w:before="60" w:after="0" w:line="240" w:lineRule="auto"/>
        <w:jc w:val="both"/>
        <w:rPr>
          <w:sz w:val="24"/>
          <w:szCs w:val="24"/>
        </w:rPr>
      </w:pPr>
    </w:p>
    <w:p w:rsidR="00C41187" w:rsidRPr="00764415" w:rsidRDefault="00AD240D" w:rsidP="000F4059">
      <w:pPr>
        <w:spacing w:before="60" w:after="0" w:line="240" w:lineRule="auto"/>
        <w:jc w:val="both"/>
        <w:rPr>
          <w:sz w:val="24"/>
          <w:szCs w:val="24"/>
        </w:rPr>
      </w:pPr>
      <w:r w:rsidRPr="00764415">
        <w:rPr>
          <w:sz w:val="24"/>
          <w:szCs w:val="24"/>
        </w:rPr>
        <w:t xml:space="preserve">En conformité avec le référentiel </w:t>
      </w:r>
      <w:r w:rsidR="00C41187" w:rsidRPr="00764415">
        <w:rPr>
          <w:sz w:val="24"/>
          <w:szCs w:val="24"/>
        </w:rPr>
        <w:t>de compétences, de formation et de bonne</w:t>
      </w:r>
      <w:r w:rsidR="00CF3F6C" w:rsidRPr="00764415">
        <w:rPr>
          <w:sz w:val="24"/>
          <w:szCs w:val="24"/>
        </w:rPr>
        <w:t>s</w:t>
      </w:r>
      <w:r w:rsidR="00C41187" w:rsidRPr="00764415">
        <w:rPr>
          <w:sz w:val="24"/>
          <w:szCs w:val="24"/>
        </w:rPr>
        <w:t xml:space="preserve"> pratiques «  </w:t>
      </w:r>
      <w:r w:rsidR="00C41187" w:rsidRPr="00764415">
        <w:rPr>
          <w:i/>
          <w:sz w:val="24"/>
          <w:szCs w:val="24"/>
        </w:rPr>
        <w:t>la</w:t>
      </w:r>
      <w:r w:rsidR="00C41187" w:rsidRPr="00764415">
        <w:rPr>
          <w:sz w:val="24"/>
          <w:szCs w:val="24"/>
        </w:rPr>
        <w:t xml:space="preserve"> </w:t>
      </w:r>
      <w:r w:rsidR="00C41187" w:rsidRPr="00764415">
        <w:rPr>
          <w:i/>
          <w:sz w:val="24"/>
          <w:szCs w:val="24"/>
        </w:rPr>
        <w:t>médiation en santé pour les personnes éloignées des systèmes de prévention et de soins » (</w:t>
      </w:r>
      <w:r w:rsidR="00F10349" w:rsidRPr="00764415">
        <w:rPr>
          <w:sz w:val="24"/>
          <w:szCs w:val="24"/>
        </w:rPr>
        <w:t>octobre 2017)</w:t>
      </w:r>
      <w:r w:rsidRPr="00764415">
        <w:rPr>
          <w:sz w:val="24"/>
          <w:szCs w:val="24"/>
        </w:rPr>
        <w:t xml:space="preserve"> de la Haute Autorité de Santé, les actions locales doivent prioritairement </w:t>
      </w:r>
      <w:r w:rsidRPr="00764415">
        <w:rPr>
          <w:sz w:val="24"/>
          <w:szCs w:val="24"/>
        </w:rPr>
        <w:lastRenderedPageBreak/>
        <w:t xml:space="preserve">cibler </w:t>
      </w:r>
      <w:r w:rsidR="00442617">
        <w:rPr>
          <w:sz w:val="24"/>
          <w:szCs w:val="24"/>
        </w:rPr>
        <w:t>les populations suivantes</w:t>
      </w:r>
      <w:r w:rsidRPr="00764415">
        <w:rPr>
          <w:sz w:val="24"/>
          <w:szCs w:val="24"/>
        </w:rPr>
        <w:t xml:space="preserve"> pour lesquelles le renoncement aux soins et l’exclusion du système de santé sont grandissants : </w:t>
      </w:r>
    </w:p>
    <w:p w:rsidR="00C41187" w:rsidRPr="00764415" w:rsidRDefault="00C41187" w:rsidP="00764415">
      <w:pPr>
        <w:pStyle w:val="Default"/>
        <w:numPr>
          <w:ilvl w:val="0"/>
          <w:numId w:val="6"/>
        </w:numPr>
        <w:ind w:left="709" w:hanging="357"/>
        <w:jc w:val="both"/>
      </w:pPr>
      <w:r w:rsidRPr="00764415">
        <w:t>Habitants des zones urbaines sensibles et département d’outre-mer</w:t>
      </w:r>
      <w:r w:rsidR="00AE426E" w:rsidRPr="00764415">
        <w:t>,</w:t>
      </w:r>
    </w:p>
    <w:p w:rsidR="00C41187" w:rsidRPr="00764415" w:rsidRDefault="00C41187" w:rsidP="00764415">
      <w:pPr>
        <w:pStyle w:val="Default"/>
        <w:numPr>
          <w:ilvl w:val="0"/>
          <w:numId w:val="6"/>
        </w:numPr>
        <w:ind w:left="709" w:hanging="357"/>
        <w:jc w:val="both"/>
      </w:pPr>
      <w:r w:rsidRPr="00764415">
        <w:t>Populations immigrés ou descendants d’immigrés</w:t>
      </w:r>
      <w:r w:rsidR="00AE426E" w:rsidRPr="00764415">
        <w:t>,</w:t>
      </w:r>
    </w:p>
    <w:p w:rsidR="00C41187" w:rsidRPr="00764415" w:rsidRDefault="00806020" w:rsidP="00764415">
      <w:pPr>
        <w:pStyle w:val="Default"/>
        <w:numPr>
          <w:ilvl w:val="0"/>
          <w:numId w:val="6"/>
        </w:numPr>
        <w:ind w:left="709" w:hanging="357"/>
        <w:jc w:val="both"/>
      </w:pPr>
      <w:r w:rsidRPr="00764415">
        <w:t>Les</w:t>
      </w:r>
      <w:r w:rsidR="00C41187" w:rsidRPr="00764415">
        <w:t xml:space="preserve"> travailleuse</w:t>
      </w:r>
      <w:r w:rsidRPr="00764415">
        <w:t>s</w:t>
      </w:r>
      <w:r w:rsidR="00C41187" w:rsidRPr="00764415">
        <w:t xml:space="preserve"> pauvre</w:t>
      </w:r>
      <w:r w:rsidRPr="00764415">
        <w:t>s</w:t>
      </w:r>
      <w:r w:rsidR="00C41187" w:rsidRPr="00764415">
        <w:t xml:space="preserve"> en situation de vulnérabilité sociale</w:t>
      </w:r>
      <w:r w:rsidR="00AE426E" w:rsidRPr="00764415">
        <w:t>,</w:t>
      </w:r>
    </w:p>
    <w:p w:rsidR="00C41187" w:rsidRPr="00764415" w:rsidRDefault="00C41187" w:rsidP="00764415">
      <w:pPr>
        <w:pStyle w:val="Default"/>
        <w:numPr>
          <w:ilvl w:val="0"/>
          <w:numId w:val="6"/>
        </w:numPr>
        <w:ind w:left="709" w:hanging="357"/>
        <w:jc w:val="both"/>
      </w:pPr>
      <w:r w:rsidRPr="00764415">
        <w:t>Les personnes âgées de 55-85 ans en situation de difficulté financière</w:t>
      </w:r>
      <w:r w:rsidR="00AE426E" w:rsidRPr="00764415">
        <w:t>,</w:t>
      </w:r>
    </w:p>
    <w:p w:rsidR="00510E97" w:rsidRPr="00764415" w:rsidRDefault="00510E97" w:rsidP="00764415">
      <w:pPr>
        <w:pStyle w:val="Default"/>
        <w:numPr>
          <w:ilvl w:val="0"/>
          <w:numId w:val="6"/>
        </w:numPr>
        <w:ind w:left="709" w:hanging="357"/>
        <w:jc w:val="both"/>
      </w:pPr>
      <w:r w:rsidRPr="00764415">
        <w:t>Milieu carcéral</w:t>
      </w:r>
      <w:r w:rsidR="00AE426E" w:rsidRPr="00764415">
        <w:t>,</w:t>
      </w:r>
    </w:p>
    <w:p w:rsidR="00E33EFC" w:rsidRPr="00764415" w:rsidRDefault="00AE426E" w:rsidP="00764415">
      <w:pPr>
        <w:pStyle w:val="Default"/>
        <w:numPr>
          <w:ilvl w:val="0"/>
          <w:numId w:val="6"/>
        </w:numPr>
        <w:ind w:left="709" w:hanging="357"/>
        <w:jc w:val="both"/>
      </w:pPr>
      <w:r w:rsidRPr="00764415">
        <w:t>M</w:t>
      </w:r>
      <w:r w:rsidR="00510E97" w:rsidRPr="00764415">
        <w:t>igrants</w:t>
      </w:r>
      <w:r w:rsidRPr="00764415">
        <w:t>.</w:t>
      </w:r>
    </w:p>
    <w:p w:rsidR="00A67CA2" w:rsidRPr="007C6715" w:rsidRDefault="00A67CA2" w:rsidP="00A67CA2">
      <w:pPr>
        <w:pStyle w:val="Style1"/>
        <w:contextualSpacing/>
        <w:rPr>
          <w:sz w:val="22"/>
          <w:szCs w:val="22"/>
        </w:rPr>
      </w:pPr>
      <w:r w:rsidRPr="007C6715">
        <w:rPr>
          <w:sz w:val="22"/>
          <w:szCs w:val="22"/>
        </w:rPr>
        <w:t>PERIMETRE</w:t>
      </w:r>
      <w:r w:rsidR="00742752">
        <w:rPr>
          <w:sz w:val="22"/>
          <w:szCs w:val="22"/>
        </w:rPr>
        <w:t xml:space="preserve"> des actions</w:t>
      </w:r>
    </w:p>
    <w:p w:rsidR="00A67CA2" w:rsidRPr="007C6715" w:rsidRDefault="00A67CA2" w:rsidP="00A67CA2">
      <w:pPr>
        <w:autoSpaceDE w:val="0"/>
        <w:autoSpaceDN w:val="0"/>
        <w:adjustRightInd w:val="0"/>
        <w:spacing w:after="0" w:line="240" w:lineRule="auto"/>
        <w:rPr>
          <w:rFonts w:cs="Calibri"/>
          <w:b/>
          <w:color w:val="000000"/>
          <w:sz w:val="24"/>
          <w:szCs w:val="24"/>
          <w:lang w:eastAsia="fr-FR"/>
        </w:rPr>
      </w:pPr>
      <w:r w:rsidRPr="007C6715">
        <w:rPr>
          <w:rFonts w:cs="Calibri"/>
          <w:b/>
          <w:color w:val="000000"/>
          <w:sz w:val="24"/>
          <w:szCs w:val="24"/>
          <w:lang w:eastAsia="fr-FR"/>
        </w:rPr>
        <w:t xml:space="preserve">Plusieurs types d’actions peuvent être </w:t>
      </w:r>
      <w:r w:rsidR="00D91641" w:rsidRPr="007C6715">
        <w:rPr>
          <w:rFonts w:cs="Calibri"/>
          <w:b/>
          <w:color w:val="000000"/>
          <w:sz w:val="24"/>
          <w:szCs w:val="24"/>
          <w:lang w:eastAsia="fr-FR"/>
        </w:rPr>
        <w:t>envisagés</w:t>
      </w:r>
      <w:r w:rsidRPr="007C6715">
        <w:rPr>
          <w:rFonts w:cs="Calibri"/>
          <w:b/>
          <w:color w:val="000000"/>
          <w:sz w:val="24"/>
          <w:szCs w:val="24"/>
          <w:lang w:eastAsia="fr-FR"/>
        </w:rPr>
        <w:t xml:space="preserve"> : </w:t>
      </w:r>
    </w:p>
    <w:p w:rsidR="00A67CA2" w:rsidRPr="007C6715" w:rsidRDefault="00A67CA2" w:rsidP="00A67CA2">
      <w:pPr>
        <w:autoSpaceDE w:val="0"/>
        <w:autoSpaceDN w:val="0"/>
        <w:adjustRightInd w:val="0"/>
        <w:spacing w:after="0" w:line="240" w:lineRule="auto"/>
        <w:rPr>
          <w:rFonts w:cs="Calibri"/>
          <w:color w:val="000000"/>
          <w:sz w:val="24"/>
          <w:szCs w:val="24"/>
          <w:lang w:eastAsia="fr-FR"/>
        </w:rPr>
      </w:pPr>
    </w:p>
    <w:p w:rsidR="00A67CA2" w:rsidRPr="007C6715" w:rsidRDefault="00A67CA2" w:rsidP="00BD6B05">
      <w:pPr>
        <w:numPr>
          <w:ilvl w:val="0"/>
          <w:numId w:val="23"/>
        </w:numPr>
        <w:autoSpaceDE w:val="0"/>
        <w:autoSpaceDN w:val="0"/>
        <w:adjustRightInd w:val="0"/>
        <w:spacing w:after="34" w:line="240" w:lineRule="auto"/>
        <w:ind w:left="426"/>
        <w:jc w:val="both"/>
        <w:rPr>
          <w:rFonts w:cs="Calibri"/>
          <w:b/>
          <w:color w:val="000000"/>
          <w:sz w:val="24"/>
          <w:szCs w:val="24"/>
          <w:lang w:eastAsia="fr-FR"/>
        </w:rPr>
      </w:pPr>
      <w:r w:rsidRPr="007C6715">
        <w:rPr>
          <w:rFonts w:cs="Calibri"/>
          <w:b/>
          <w:color w:val="000000"/>
          <w:sz w:val="24"/>
          <w:szCs w:val="24"/>
          <w:lang w:eastAsia="fr-FR"/>
        </w:rPr>
        <w:t xml:space="preserve">Les actions de proximité en éducation et promotion de la santé  seront retenues prioritairement </w:t>
      </w: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r w:rsidRPr="007C6715">
        <w:rPr>
          <w:rFonts w:cs="Calibri"/>
          <w:color w:val="000000"/>
          <w:sz w:val="24"/>
          <w:szCs w:val="24"/>
          <w:lang w:eastAsia="fr-FR"/>
        </w:rPr>
        <w:t>Il s’agira, en fonction des besoins identifiés au niveau des cibles ou/et des territoires d’apporter des éléments d’</w:t>
      </w:r>
      <w:r w:rsidRPr="007C6715">
        <w:rPr>
          <w:rFonts w:cs="Calibri"/>
          <w:b/>
          <w:color w:val="000000"/>
          <w:sz w:val="24"/>
          <w:szCs w:val="24"/>
          <w:lang w:eastAsia="fr-FR"/>
        </w:rPr>
        <w:t>information</w:t>
      </w:r>
      <w:r w:rsidRPr="007C6715">
        <w:rPr>
          <w:rFonts w:cs="Calibri"/>
          <w:color w:val="000000"/>
          <w:sz w:val="24"/>
          <w:szCs w:val="24"/>
          <w:lang w:eastAsia="fr-FR"/>
        </w:rPr>
        <w:t xml:space="preserve"> et d’</w:t>
      </w:r>
      <w:r w:rsidRPr="007C6715">
        <w:rPr>
          <w:rFonts w:cs="Calibri"/>
          <w:b/>
          <w:color w:val="000000"/>
          <w:sz w:val="24"/>
          <w:szCs w:val="24"/>
          <w:lang w:eastAsia="fr-FR"/>
        </w:rPr>
        <w:t>explication</w:t>
      </w:r>
      <w:r w:rsidRPr="007C6715">
        <w:rPr>
          <w:rFonts w:cs="Calibri"/>
          <w:color w:val="000000"/>
          <w:sz w:val="24"/>
          <w:szCs w:val="24"/>
          <w:lang w:eastAsia="fr-FR"/>
        </w:rPr>
        <w:t xml:space="preserve"> sur les dépistages afin de permettre aux personnes concernées de faire un choix éclairé. </w:t>
      </w: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r w:rsidRPr="007C6715">
        <w:rPr>
          <w:rFonts w:cs="Calibri"/>
          <w:color w:val="000000"/>
          <w:sz w:val="24"/>
          <w:szCs w:val="24"/>
          <w:lang w:eastAsia="fr-FR"/>
        </w:rPr>
        <w:t xml:space="preserve">Il est nécessaire de rappeler </w:t>
      </w:r>
      <w:r w:rsidR="00C24E74">
        <w:rPr>
          <w:rFonts w:cs="Calibri"/>
          <w:color w:val="000000"/>
          <w:sz w:val="24"/>
          <w:szCs w:val="24"/>
          <w:lang w:eastAsia="fr-FR"/>
        </w:rPr>
        <w:t>aux</w:t>
      </w:r>
      <w:r w:rsidR="00C24E74" w:rsidRPr="007C6715">
        <w:rPr>
          <w:rFonts w:cs="Calibri"/>
          <w:color w:val="000000"/>
          <w:sz w:val="24"/>
          <w:szCs w:val="24"/>
          <w:lang w:eastAsia="fr-FR"/>
        </w:rPr>
        <w:t xml:space="preserve"> </w:t>
      </w:r>
      <w:r w:rsidRPr="007C6715">
        <w:rPr>
          <w:rFonts w:cs="Calibri"/>
          <w:color w:val="000000"/>
          <w:sz w:val="24"/>
          <w:szCs w:val="24"/>
          <w:lang w:eastAsia="fr-FR"/>
        </w:rPr>
        <w:t>personnes éligibles aux dépistages organisés</w:t>
      </w:r>
      <w:r w:rsidR="007327D2" w:rsidRPr="007C6715">
        <w:rPr>
          <w:rFonts w:cs="Calibri"/>
          <w:color w:val="000000"/>
          <w:sz w:val="24"/>
          <w:szCs w:val="24"/>
          <w:lang w:eastAsia="fr-FR"/>
        </w:rPr>
        <w:t>, les recommandations relatives aux dépistages organisés et de</w:t>
      </w:r>
      <w:r w:rsidRPr="007C6715">
        <w:rPr>
          <w:rFonts w:cs="Calibri"/>
          <w:color w:val="000000"/>
          <w:sz w:val="24"/>
          <w:szCs w:val="24"/>
          <w:lang w:eastAsia="fr-FR"/>
        </w:rPr>
        <w:t xml:space="preserve"> travailler sur les freins et les leviers permet</w:t>
      </w:r>
      <w:r w:rsidR="007327D2" w:rsidRPr="007C6715">
        <w:rPr>
          <w:rFonts w:cs="Calibri"/>
          <w:color w:val="000000"/>
          <w:sz w:val="24"/>
          <w:szCs w:val="24"/>
          <w:lang w:eastAsia="fr-FR"/>
        </w:rPr>
        <w:t xml:space="preserve">tant d’améliorer la participation </w:t>
      </w:r>
      <w:r w:rsidR="00742752">
        <w:rPr>
          <w:rFonts w:cs="Calibri"/>
          <w:color w:val="000000"/>
          <w:sz w:val="24"/>
          <w:szCs w:val="24"/>
          <w:lang w:eastAsia="fr-FR"/>
        </w:rPr>
        <w:t>à ces programmes</w:t>
      </w:r>
      <w:r w:rsidRPr="007C6715">
        <w:rPr>
          <w:rFonts w:cs="Calibri"/>
          <w:color w:val="000000"/>
          <w:sz w:val="24"/>
          <w:szCs w:val="24"/>
          <w:lang w:eastAsia="fr-FR"/>
        </w:rPr>
        <w:t xml:space="preserve">.  </w:t>
      </w: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r w:rsidRPr="007C6715">
        <w:rPr>
          <w:rFonts w:cs="Calibri"/>
          <w:color w:val="000000"/>
          <w:sz w:val="24"/>
          <w:szCs w:val="24"/>
          <w:lang w:eastAsia="fr-FR"/>
        </w:rPr>
        <w:t xml:space="preserve">Si  l’effort de pédagogie engagé depuis plusieurs années auprès des Français </w:t>
      </w:r>
      <w:r w:rsidR="00742752">
        <w:rPr>
          <w:rFonts w:cs="Calibri"/>
          <w:color w:val="000000"/>
          <w:sz w:val="24"/>
          <w:szCs w:val="24"/>
          <w:lang w:eastAsia="fr-FR"/>
        </w:rPr>
        <w:t>au</w:t>
      </w:r>
      <w:r w:rsidR="00742752" w:rsidRPr="007C6715">
        <w:rPr>
          <w:rFonts w:cs="Calibri"/>
          <w:color w:val="000000"/>
          <w:sz w:val="24"/>
          <w:szCs w:val="24"/>
          <w:lang w:eastAsia="fr-FR"/>
        </w:rPr>
        <w:t xml:space="preserve"> </w:t>
      </w:r>
      <w:r w:rsidRPr="007C6715">
        <w:rPr>
          <w:rFonts w:cs="Calibri"/>
          <w:color w:val="000000"/>
          <w:sz w:val="24"/>
          <w:szCs w:val="24"/>
          <w:lang w:eastAsia="fr-FR"/>
        </w:rPr>
        <w:t xml:space="preserve">travers notamment </w:t>
      </w:r>
      <w:r w:rsidR="00742752">
        <w:rPr>
          <w:rFonts w:cs="Calibri"/>
          <w:color w:val="000000"/>
          <w:sz w:val="24"/>
          <w:szCs w:val="24"/>
          <w:lang w:eastAsia="fr-FR"/>
        </w:rPr>
        <w:t>d</w:t>
      </w:r>
      <w:r w:rsidR="00742752" w:rsidRPr="007C6715">
        <w:rPr>
          <w:rFonts w:cs="Calibri"/>
          <w:color w:val="000000"/>
          <w:sz w:val="24"/>
          <w:szCs w:val="24"/>
          <w:lang w:eastAsia="fr-FR"/>
        </w:rPr>
        <w:t xml:space="preserve">es </w:t>
      </w:r>
      <w:r w:rsidRPr="007C6715">
        <w:rPr>
          <w:rFonts w:cs="Calibri"/>
          <w:color w:val="000000"/>
          <w:sz w:val="24"/>
          <w:szCs w:val="24"/>
          <w:lang w:eastAsia="fr-FR"/>
        </w:rPr>
        <w:t xml:space="preserve">différentes campagnes de communication et </w:t>
      </w:r>
      <w:r w:rsidR="00742752">
        <w:rPr>
          <w:rFonts w:cs="Calibri"/>
          <w:color w:val="000000"/>
          <w:sz w:val="24"/>
          <w:szCs w:val="24"/>
          <w:lang w:eastAsia="fr-FR"/>
        </w:rPr>
        <w:t>d</w:t>
      </w:r>
      <w:r w:rsidR="00742752" w:rsidRPr="007C6715">
        <w:rPr>
          <w:rFonts w:cs="Calibri"/>
          <w:color w:val="000000"/>
          <w:sz w:val="24"/>
          <w:szCs w:val="24"/>
          <w:lang w:eastAsia="fr-FR"/>
        </w:rPr>
        <w:t xml:space="preserve">es </w:t>
      </w:r>
      <w:r w:rsidRPr="007C6715">
        <w:rPr>
          <w:rFonts w:cs="Calibri"/>
          <w:color w:val="000000"/>
          <w:sz w:val="24"/>
          <w:szCs w:val="24"/>
          <w:lang w:eastAsia="fr-FR"/>
        </w:rPr>
        <w:t xml:space="preserve">actions de proximité porte </w:t>
      </w:r>
      <w:r w:rsidR="00742752">
        <w:rPr>
          <w:rFonts w:cs="Calibri"/>
          <w:color w:val="000000"/>
          <w:sz w:val="24"/>
          <w:szCs w:val="24"/>
          <w:lang w:eastAsia="fr-FR"/>
        </w:rPr>
        <w:t>ses</w:t>
      </w:r>
      <w:r w:rsidR="00742752" w:rsidRPr="007C6715">
        <w:rPr>
          <w:rFonts w:cs="Calibri"/>
          <w:color w:val="000000"/>
          <w:sz w:val="24"/>
          <w:szCs w:val="24"/>
          <w:lang w:eastAsia="fr-FR"/>
        </w:rPr>
        <w:t xml:space="preserve"> </w:t>
      </w:r>
      <w:r w:rsidRPr="007C6715">
        <w:rPr>
          <w:rFonts w:cs="Calibri"/>
          <w:color w:val="000000"/>
          <w:sz w:val="24"/>
          <w:szCs w:val="24"/>
          <w:lang w:eastAsia="fr-FR"/>
        </w:rPr>
        <w:t>fruits</w:t>
      </w:r>
      <w:r w:rsidR="00742752">
        <w:rPr>
          <w:rFonts w:cs="Calibri"/>
          <w:color w:val="000000"/>
          <w:sz w:val="24"/>
          <w:szCs w:val="24"/>
          <w:lang w:eastAsia="fr-FR"/>
        </w:rPr>
        <w:t>,</w:t>
      </w:r>
      <w:r w:rsidRPr="007C6715">
        <w:rPr>
          <w:rFonts w:cs="Calibri"/>
          <w:color w:val="000000"/>
          <w:sz w:val="24"/>
          <w:szCs w:val="24"/>
          <w:lang w:eastAsia="fr-FR"/>
        </w:rPr>
        <w:t xml:space="preserve"> un certain nombre d’idées reçues</w:t>
      </w:r>
      <w:r w:rsidR="009E242D" w:rsidRPr="007C6715">
        <w:rPr>
          <w:rFonts w:cs="Calibri"/>
          <w:color w:val="000000"/>
          <w:sz w:val="24"/>
          <w:szCs w:val="24"/>
          <w:lang w:eastAsia="fr-FR"/>
        </w:rPr>
        <w:t xml:space="preserve"> </w:t>
      </w:r>
      <w:r w:rsidR="00742752" w:rsidRPr="007C6715">
        <w:rPr>
          <w:rFonts w:cs="Calibri"/>
          <w:color w:val="000000"/>
          <w:sz w:val="24"/>
          <w:szCs w:val="24"/>
          <w:lang w:eastAsia="fr-FR"/>
        </w:rPr>
        <w:t xml:space="preserve">sur les dépistages persistent </w:t>
      </w:r>
      <w:r w:rsidR="009E242D" w:rsidRPr="007C6715">
        <w:rPr>
          <w:rFonts w:cs="Calibri"/>
          <w:color w:val="000000"/>
          <w:sz w:val="24"/>
          <w:szCs w:val="24"/>
          <w:lang w:eastAsia="fr-FR"/>
        </w:rPr>
        <w:t xml:space="preserve">(mammographie douloureuse, arrêt </w:t>
      </w:r>
      <w:r w:rsidR="00742752">
        <w:rPr>
          <w:rFonts w:cs="Calibri"/>
          <w:color w:val="000000"/>
          <w:sz w:val="24"/>
          <w:szCs w:val="24"/>
          <w:lang w:eastAsia="fr-FR"/>
        </w:rPr>
        <w:t>du dépistage régulier</w:t>
      </w:r>
      <w:r w:rsidR="009E242D" w:rsidRPr="007C6715">
        <w:rPr>
          <w:rFonts w:cs="Calibri"/>
          <w:color w:val="000000"/>
          <w:sz w:val="24"/>
          <w:szCs w:val="24"/>
          <w:lang w:eastAsia="fr-FR"/>
        </w:rPr>
        <w:t xml:space="preserve"> après </w:t>
      </w:r>
      <w:r w:rsidR="00742752">
        <w:rPr>
          <w:rFonts w:cs="Calibri"/>
          <w:color w:val="000000"/>
          <w:sz w:val="24"/>
          <w:szCs w:val="24"/>
          <w:lang w:eastAsia="fr-FR"/>
        </w:rPr>
        <w:t xml:space="preserve">des </w:t>
      </w:r>
      <w:r w:rsidR="009E242D" w:rsidRPr="007C6715">
        <w:rPr>
          <w:rFonts w:cs="Calibri"/>
          <w:color w:val="000000"/>
          <w:sz w:val="24"/>
          <w:szCs w:val="24"/>
          <w:lang w:eastAsia="fr-FR"/>
        </w:rPr>
        <w:t>résultats normaux etc…)</w:t>
      </w:r>
      <w:r w:rsidRPr="007C6715">
        <w:rPr>
          <w:rFonts w:cs="Calibri"/>
          <w:color w:val="000000"/>
          <w:sz w:val="24"/>
          <w:szCs w:val="24"/>
          <w:lang w:eastAsia="fr-FR"/>
        </w:rPr>
        <w:t xml:space="preserve">  </w:t>
      </w:r>
      <w:r w:rsidR="00742752">
        <w:rPr>
          <w:rFonts w:cs="Calibri"/>
          <w:color w:val="000000"/>
          <w:sz w:val="24"/>
          <w:szCs w:val="24"/>
          <w:lang w:eastAsia="fr-FR"/>
        </w:rPr>
        <w:t xml:space="preserve"> et </w:t>
      </w:r>
      <w:r w:rsidR="007327D2" w:rsidRPr="007C6715">
        <w:rPr>
          <w:rFonts w:cs="Calibri"/>
          <w:color w:val="000000"/>
          <w:sz w:val="24"/>
          <w:szCs w:val="24"/>
          <w:lang w:eastAsia="fr-FR"/>
        </w:rPr>
        <w:t xml:space="preserve">le dépistage demeure une </w:t>
      </w:r>
      <w:r w:rsidRPr="007C6715">
        <w:rPr>
          <w:rFonts w:cs="Calibri"/>
          <w:color w:val="000000"/>
          <w:sz w:val="24"/>
          <w:szCs w:val="24"/>
          <w:lang w:eastAsia="fr-FR"/>
        </w:rPr>
        <w:t xml:space="preserve">source d’inquiétude pour </w:t>
      </w:r>
      <w:r w:rsidR="00A33683" w:rsidRPr="007C6715">
        <w:rPr>
          <w:rFonts w:cs="Calibri"/>
          <w:color w:val="000000"/>
          <w:sz w:val="24"/>
          <w:szCs w:val="24"/>
          <w:lang w:eastAsia="fr-FR"/>
        </w:rPr>
        <w:t>un certain de nombre de femmes.</w:t>
      </w:r>
      <w:r w:rsidRPr="007C6715">
        <w:rPr>
          <w:rFonts w:cs="Calibri"/>
          <w:color w:val="000000"/>
          <w:sz w:val="24"/>
          <w:szCs w:val="24"/>
          <w:lang w:eastAsia="fr-FR"/>
        </w:rPr>
        <w:t xml:space="preserve"> Il convient donc de poursuivre cet effort de pédagogie.    </w:t>
      </w: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p>
    <w:p w:rsidR="00A67CA2" w:rsidRPr="007C6715" w:rsidRDefault="00A67CA2" w:rsidP="00A67CA2">
      <w:pPr>
        <w:autoSpaceDE w:val="0"/>
        <w:autoSpaceDN w:val="0"/>
        <w:adjustRightInd w:val="0"/>
        <w:spacing w:after="34" w:line="240" w:lineRule="auto"/>
        <w:jc w:val="both"/>
        <w:rPr>
          <w:rFonts w:cs="Calibri"/>
          <w:color w:val="000000"/>
          <w:sz w:val="24"/>
          <w:szCs w:val="24"/>
          <w:lang w:eastAsia="fr-FR"/>
        </w:rPr>
      </w:pPr>
      <w:r w:rsidRPr="007C6715">
        <w:rPr>
          <w:rFonts w:cs="Calibri"/>
          <w:color w:val="000000"/>
          <w:sz w:val="24"/>
          <w:szCs w:val="24"/>
          <w:lang w:eastAsia="fr-FR"/>
        </w:rPr>
        <w:t xml:space="preserve">Il conviendra également de présenter </w:t>
      </w:r>
      <w:r w:rsidR="00A90A8E" w:rsidRPr="007C6715">
        <w:rPr>
          <w:rFonts w:cs="Calibri"/>
          <w:color w:val="000000"/>
          <w:sz w:val="24"/>
          <w:szCs w:val="24"/>
          <w:lang w:eastAsia="fr-FR"/>
        </w:rPr>
        <w:t>les différents programmes de dépistage organisé</w:t>
      </w:r>
      <w:r w:rsidRPr="007C6715">
        <w:rPr>
          <w:rFonts w:cs="Calibri"/>
          <w:color w:val="000000"/>
          <w:sz w:val="24"/>
          <w:szCs w:val="24"/>
          <w:lang w:eastAsia="fr-FR"/>
        </w:rPr>
        <w:t xml:space="preserve"> en </w:t>
      </w:r>
      <w:r w:rsidR="0093426B">
        <w:rPr>
          <w:rFonts w:cs="Calibri"/>
          <w:color w:val="000000"/>
          <w:sz w:val="24"/>
          <w:szCs w:val="24"/>
          <w:lang w:eastAsia="fr-FR"/>
        </w:rPr>
        <w:t>prenant</w:t>
      </w:r>
      <w:r w:rsidR="0093426B" w:rsidRPr="007C6715">
        <w:rPr>
          <w:rFonts w:cs="Calibri"/>
          <w:color w:val="000000"/>
          <w:sz w:val="24"/>
          <w:szCs w:val="24"/>
          <w:lang w:eastAsia="fr-FR"/>
        </w:rPr>
        <w:t xml:space="preserve"> </w:t>
      </w:r>
      <w:r w:rsidRPr="007C6715">
        <w:rPr>
          <w:rFonts w:cs="Calibri"/>
          <w:color w:val="000000"/>
          <w:sz w:val="24"/>
          <w:szCs w:val="24"/>
          <w:lang w:eastAsia="fr-FR"/>
        </w:rPr>
        <w:t xml:space="preserve">soin de valoriser l’ensemble des professionnels habilités à </w:t>
      </w:r>
      <w:r w:rsidR="00487906" w:rsidRPr="007C6715">
        <w:rPr>
          <w:rFonts w:cs="Calibri"/>
          <w:color w:val="000000"/>
          <w:sz w:val="24"/>
          <w:szCs w:val="24"/>
          <w:lang w:eastAsia="fr-FR"/>
        </w:rPr>
        <w:t xml:space="preserve">pratiquer les examens de dépistage. </w:t>
      </w:r>
    </w:p>
    <w:p w:rsidR="00A67CA2" w:rsidRPr="007C6715" w:rsidRDefault="00A67CA2" w:rsidP="002F184E">
      <w:pPr>
        <w:autoSpaceDE w:val="0"/>
        <w:autoSpaceDN w:val="0"/>
        <w:adjustRightInd w:val="0"/>
        <w:spacing w:after="0" w:line="240" w:lineRule="auto"/>
        <w:jc w:val="both"/>
        <w:rPr>
          <w:rFonts w:cs="Calibri"/>
          <w:color w:val="000000"/>
          <w:sz w:val="24"/>
          <w:szCs w:val="24"/>
          <w:lang w:eastAsia="fr-FR"/>
        </w:rPr>
      </w:pPr>
      <w:r w:rsidRPr="007C6715">
        <w:rPr>
          <w:rFonts w:cs="Calibri"/>
          <w:color w:val="000000"/>
          <w:sz w:val="24"/>
          <w:szCs w:val="24"/>
          <w:lang w:eastAsia="fr-FR"/>
        </w:rPr>
        <w:t xml:space="preserve"> </w:t>
      </w:r>
    </w:p>
    <w:p w:rsidR="00A67CA2" w:rsidRDefault="00A67CA2" w:rsidP="002F184E">
      <w:pPr>
        <w:autoSpaceDE w:val="0"/>
        <w:autoSpaceDN w:val="0"/>
        <w:adjustRightInd w:val="0"/>
        <w:spacing w:after="0" w:line="240" w:lineRule="auto"/>
        <w:jc w:val="both"/>
        <w:rPr>
          <w:rFonts w:cs="Calibri"/>
          <w:color w:val="000000"/>
          <w:sz w:val="24"/>
          <w:szCs w:val="24"/>
          <w:lang w:eastAsia="fr-FR"/>
        </w:rPr>
      </w:pPr>
      <w:r w:rsidRPr="007C6715">
        <w:rPr>
          <w:rFonts w:cs="Calibri"/>
          <w:color w:val="000000"/>
          <w:sz w:val="24"/>
          <w:szCs w:val="24"/>
          <w:lang w:eastAsia="fr-FR"/>
        </w:rPr>
        <w:t>Les actions devront s’appuyer sur les professionnels de santé et les partenaires locaux (</w:t>
      </w:r>
      <w:r w:rsidR="00A90A8E" w:rsidRPr="007C6715">
        <w:rPr>
          <w:rFonts w:cs="Calibri"/>
          <w:color w:val="000000"/>
          <w:sz w:val="24"/>
          <w:szCs w:val="24"/>
          <w:lang w:eastAsia="fr-FR"/>
        </w:rPr>
        <w:t xml:space="preserve">structure de gestion, conseils départementaux etc…). </w:t>
      </w:r>
    </w:p>
    <w:p w:rsidR="0093426B" w:rsidRPr="00C6576E" w:rsidRDefault="0093426B" w:rsidP="002F184E">
      <w:pPr>
        <w:autoSpaceDE w:val="0"/>
        <w:autoSpaceDN w:val="0"/>
        <w:adjustRightInd w:val="0"/>
        <w:spacing w:after="0" w:line="240" w:lineRule="auto"/>
        <w:jc w:val="both"/>
      </w:pPr>
    </w:p>
    <w:p w:rsidR="0093426B" w:rsidRPr="007C6715" w:rsidRDefault="0093426B" w:rsidP="00BD6B05">
      <w:pPr>
        <w:numPr>
          <w:ilvl w:val="0"/>
          <w:numId w:val="23"/>
        </w:numPr>
        <w:spacing w:after="0" w:line="264" w:lineRule="auto"/>
        <w:ind w:left="426"/>
        <w:jc w:val="both"/>
        <w:rPr>
          <w:rFonts w:eastAsia="Times New Roman" w:cs="Calibri"/>
          <w:b/>
          <w:sz w:val="24"/>
          <w:szCs w:val="24"/>
          <w:lang w:eastAsia="fr-FR"/>
        </w:rPr>
      </w:pPr>
      <w:r w:rsidRPr="007C6715">
        <w:rPr>
          <w:rFonts w:eastAsia="Times New Roman" w:cs="Calibri"/>
          <w:b/>
          <w:sz w:val="24"/>
          <w:szCs w:val="24"/>
          <w:lang w:eastAsia="fr-FR"/>
        </w:rPr>
        <w:t>Actions événementielles locales (ciné</w:t>
      </w:r>
      <w:r>
        <w:rPr>
          <w:rFonts w:eastAsia="Times New Roman" w:cs="Calibri"/>
          <w:b/>
          <w:sz w:val="24"/>
          <w:szCs w:val="24"/>
          <w:lang w:eastAsia="fr-FR"/>
        </w:rPr>
        <w:t>-</w:t>
      </w:r>
      <w:r w:rsidRPr="007C6715">
        <w:rPr>
          <w:rFonts w:eastAsia="Times New Roman" w:cs="Calibri"/>
          <w:b/>
          <w:sz w:val="24"/>
          <w:szCs w:val="24"/>
          <w:lang w:eastAsia="fr-FR"/>
        </w:rPr>
        <w:t>débat, salons…) </w:t>
      </w:r>
    </w:p>
    <w:p w:rsidR="0093426B" w:rsidRDefault="0093426B" w:rsidP="0093426B">
      <w:pPr>
        <w:spacing w:after="0" w:line="264" w:lineRule="auto"/>
        <w:jc w:val="both"/>
        <w:rPr>
          <w:rFonts w:eastAsia="Times New Roman" w:cs="Calibri"/>
          <w:sz w:val="24"/>
          <w:szCs w:val="24"/>
          <w:lang w:eastAsia="fr-FR"/>
        </w:rPr>
      </w:pPr>
    </w:p>
    <w:p w:rsidR="0093426B" w:rsidRDefault="0093426B" w:rsidP="0093426B">
      <w:pPr>
        <w:spacing w:after="0" w:line="264" w:lineRule="auto"/>
        <w:jc w:val="both"/>
        <w:rPr>
          <w:rFonts w:eastAsia="Times New Roman" w:cs="Calibri"/>
          <w:sz w:val="24"/>
          <w:szCs w:val="24"/>
          <w:lang w:eastAsia="fr-FR"/>
        </w:rPr>
      </w:pPr>
      <w:r>
        <w:rPr>
          <w:rFonts w:eastAsia="Times New Roman" w:cs="Calibri"/>
          <w:sz w:val="24"/>
          <w:szCs w:val="24"/>
          <w:lang w:eastAsia="fr-FR"/>
        </w:rPr>
        <w:t xml:space="preserve">L’organisation d’actions événementielles types ciné-débat pourront faire l’objet d’un financement à condition qu’elles s’accompagnent de la participation d’un intervenant pouvant répondre aux questions des participants et apporter des éléments d’information pertinents sur les dépistages. </w:t>
      </w:r>
    </w:p>
    <w:p w:rsidR="0093426B" w:rsidRDefault="0093426B" w:rsidP="0093426B">
      <w:pPr>
        <w:spacing w:after="0" w:line="264" w:lineRule="auto"/>
        <w:jc w:val="both"/>
        <w:rPr>
          <w:rFonts w:eastAsia="Times New Roman" w:cs="Calibri"/>
          <w:sz w:val="24"/>
          <w:szCs w:val="24"/>
          <w:lang w:eastAsia="fr-FR"/>
        </w:rPr>
      </w:pPr>
    </w:p>
    <w:p w:rsidR="0093426B" w:rsidRPr="002F184E" w:rsidRDefault="0093426B" w:rsidP="002F184E">
      <w:pPr>
        <w:spacing w:after="0" w:line="264" w:lineRule="auto"/>
        <w:jc w:val="both"/>
        <w:rPr>
          <w:rFonts w:eastAsia="Times New Roman" w:cs="Calibri"/>
          <w:sz w:val="24"/>
          <w:szCs w:val="24"/>
          <w:lang w:eastAsia="fr-FR"/>
        </w:rPr>
      </w:pPr>
      <w:r w:rsidRPr="007C6715">
        <w:rPr>
          <w:rFonts w:eastAsia="Times New Roman" w:cs="Calibri"/>
          <w:sz w:val="24"/>
          <w:szCs w:val="24"/>
          <w:lang w:eastAsia="fr-FR"/>
        </w:rPr>
        <w:t xml:space="preserve">Le financement de la participation aux forums du type «  salons »  n’est  accepté qu’à la condition de s’assurer </w:t>
      </w:r>
      <w:r>
        <w:rPr>
          <w:rFonts w:eastAsia="Times New Roman" w:cs="Calibri"/>
          <w:sz w:val="24"/>
          <w:szCs w:val="24"/>
          <w:lang w:eastAsia="fr-FR"/>
        </w:rPr>
        <w:t>d’une représentation suffisante</w:t>
      </w:r>
      <w:r w:rsidRPr="007C6715">
        <w:rPr>
          <w:rFonts w:eastAsia="Times New Roman" w:cs="Calibri"/>
          <w:sz w:val="24"/>
          <w:szCs w:val="24"/>
          <w:lang w:eastAsia="fr-FR"/>
        </w:rPr>
        <w:t xml:space="preserve"> de la thématique «  Dépistage des cancers »  et qu’elle s’accompagne d’actions de proximité (échanges, débat). </w:t>
      </w:r>
    </w:p>
    <w:p w:rsidR="0093426B" w:rsidRPr="00C6576E" w:rsidRDefault="0093426B" w:rsidP="00BD6B05">
      <w:pPr>
        <w:numPr>
          <w:ilvl w:val="0"/>
          <w:numId w:val="23"/>
        </w:numPr>
        <w:spacing w:after="0" w:line="240" w:lineRule="auto"/>
        <w:ind w:left="426"/>
        <w:jc w:val="both"/>
        <w:rPr>
          <w:rFonts w:cs="Calibri"/>
          <w:b/>
          <w:sz w:val="24"/>
          <w:szCs w:val="24"/>
          <w:lang w:eastAsia="fr-FR"/>
        </w:rPr>
      </w:pPr>
      <w:r w:rsidRPr="007C6715">
        <w:rPr>
          <w:rFonts w:cs="Calibri"/>
          <w:b/>
          <w:sz w:val="24"/>
          <w:szCs w:val="24"/>
          <w:lang w:eastAsia="fr-FR"/>
        </w:rPr>
        <w:lastRenderedPageBreak/>
        <w:t>Fabrication d’outils /supports</w:t>
      </w:r>
      <w:r w:rsidRPr="00C6576E">
        <w:rPr>
          <w:rFonts w:cs="Calibri"/>
          <w:b/>
          <w:sz w:val="24"/>
          <w:szCs w:val="24"/>
          <w:lang w:eastAsia="fr-FR"/>
        </w:rPr>
        <w:t xml:space="preserve"> </w:t>
      </w:r>
    </w:p>
    <w:p w:rsidR="0093426B" w:rsidRDefault="0093426B" w:rsidP="0093426B">
      <w:pPr>
        <w:spacing w:before="60" w:after="0" w:line="240" w:lineRule="auto"/>
        <w:jc w:val="both"/>
        <w:rPr>
          <w:rFonts w:cs="Calibri"/>
          <w:sz w:val="24"/>
          <w:szCs w:val="24"/>
          <w:lang w:eastAsia="fr-FR"/>
        </w:rPr>
      </w:pPr>
    </w:p>
    <w:p w:rsidR="0093426B" w:rsidRDefault="0093426B" w:rsidP="0093426B">
      <w:pPr>
        <w:spacing w:before="60" w:after="0" w:line="240" w:lineRule="auto"/>
        <w:jc w:val="both"/>
        <w:rPr>
          <w:rFonts w:cs="Calibri"/>
          <w:sz w:val="24"/>
          <w:szCs w:val="24"/>
          <w:lang w:eastAsia="fr-FR"/>
        </w:rPr>
      </w:pPr>
      <w:r>
        <w:rPr>
          <w:rFonts w:cs="Calibri"/>
          <w:sz w:val="24"/>
          <w:szCs w:val="24"/>
          <w:lang w:eastAsia="fr-FR"/>
        </w:rPr>
        <w:t>Dans tous les cas, pour une information générale, l</w:t>
      </w:r>
      <w:r w:rsidRPr="0082019B">
        <w:rPr>
          <w:rFonts w:cs="Calibri"/>
          <w:sz w:val="24"/>
          <w:szCs w:val="24"/>
          <w:lang w:eastAsia="fr-FR"/>
        </w:rPr>
        <w:t>’utilisation des outils nationaux doit être priorisée.</w:t>
      </w:r>
    </w:p>
    <w:p w:rsidR="0093426B" w:rsidRPr="0082019B" w:rsidRDefault="0093426B" w:rsidP="0093426B">
      <w:pPr>
        <w:spacing w:before="60" w:after="0" w:line="240" w:lineRule="auto"/>
        <w:jc w:val="both"/>
        <w:rPr>
          <w:rFonts w:cs="Calibri"/>
          <w:sz w:val="24"/>
          <w:szCs w:val="24"/>
          <w:lang w:eastAsia="fr-FR"/>
        </w:rPr>
      </w:pPr>
      <w:r>
        <w:rPr>
          <w:rFonts w:cs="Calibri"/>
          <w:sz w:val="24"/>
          <w:szCs w:val="24"/>
          <w:lang w:eastAsia="fr-FR"/>
        </w:rPr>
        <w:t>Par ailleurs,</w:t>
      </w:r>
      <w:r w:rsidRPr="00785EFC">
        <w:rPr>
          <w:rFonts w:cs="Calibri"/>
          <w:sz w:val="24"/>
          <w:szCs w:val="24"/>
          <w:lang w:eastAsia="fr-FR"/>
        </w:rPr>
        <w:t xml:space="preserve"> la fabrication d’outils/supports </w:t>
      </w:r>
      <w:r>
        <w:rPr>
          <w:rFonts w:cs="Calibri"/>
          <w:sz w:val="24"/>
          <w:szCs w:val="24"/>
          <w:lang w:eastAsia="fr-FR"/>
        </w:rPr>
        <w:t xml:space="preserve">spécifique </w:t>
      </w:r>
      <w:r w:rsidRPr="00785EFC">
        <w:rPr>
          <w:rFonts w:cs="Calibri"/>
          <w:sz w:val="24"/>
          <w:szCs w:val="24"/>
          <w:lang w:eastAsia="fr-FR"/>
        </w:rPr>
        <w:t>aux actions évènementielles</w:t>
      </w:r>
      <w:r w:rsidRPr="00613E5E">
        <w:rPr>
          <w:rFonts w:cs="Calibri"/>
          <w:sz w:val="24"/>
          <w:szCs w:val="24"/>
          <w:lang w:eastAsia="fr-FR"/>
        </w:rPr>
        <w:t xml:space="preserve"> décrites</w:t>
      </w:r>
      <w:r w:rsidR="003E6A61">
        <w:rPr>
          <w:rFonts w:cs="Calibri"/>
          <w:sz w:val="24"/>
          <w:szCs w:val="24"/>
          <w:lang w:eastAsia="fr-FR"/>
        </w:rPr>
        <w:t xml:space="preserve"> ci-dessus est autorisée (invitation à un ciné-débat ou à un forum par exemple)</w:t>
      </w:r>
      <w:r w:rsidRPr="00613E5E">
        <w:rPr>
          <w:rFonts w:cs="Calibri"/>
          <w:sz w:val="24"/>
          <w:szCs w:val="24"/>
          <w:lang w:eastAsia="fr-FR"/>
        </w:rPr>
        <w:t>.</w:t>
      </w:r>
      <w:r w:rsidRPr="0082019B">
        <w:rPr>
          <w:rFonts w:cs="Calibri"/>
          <w:sz w:val="24"/>
          <w:szCs w:val="24"/>
          <w:lang w:eastAsia="fr-FR"/>
        </w:rPr>
        <w:t xml:space="preserve">  </w:t>
      </w:r>
    </w:p>
    <w:p w:rsidR="006212E1" w:rsidRDefault="006212E1" w:rsidP="00B43A73">
      <w:pPr>
        <w:pStyle w:val="Default"/>
        <w:jc w:val="both"/>
      </w:pPr>
    </w:p>
    <w:p w:rsidR="006E5DE8" w:rsidRPr="00870888" w:rsidRDefault="007D5EA1"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4" w:name="_Toc532909385"/>
      <w:r>
        <w:rPr>
          <w:i w:val="0"/>
          <w:sz w:val="24"/>
        </w:rPr>
        <w:t>ELEMENTS DE CADRAGE D</w:t>
      </w:r>
      <w:r w:rsidR="006E5DE8" w:rsidRPr="00870888">
        <w:rPr>
          <w:i w:val="0"/>
          <w:sz w:val="24"/>
        </w:rPr>
        <w:t xml:space="preserve">ES </w:t>
      </w:r>
      <w:r w:rsidR="00953FEC" w:rsidRPr="00870888">
        <w:rPr>
          <w:i w:val="0"/>
          <w:sz w:val="24"/>
        </w:rPr>
        <w:t>ACTIONS</w:t>
      </w:r>
      <w:bookmarkEnd w:id="4"/>
      <w:r w:rsidR="006E5DE8" w:rsidRPr="00870888">
        <w:rPr>
          <w:i w:val="0"/>
          <w:sz w:val="24"/>
        </w:rPr>
        <w:t xml:space="preserve"> </w:t>
      </w:r>
    </w:p>
    <w:p w:rsidR="00870888" w:rsidRPr="007C6715" w:rsidRDefault="00870888" w:rsidP="007D5EA1">
      <w:pPr>
        <w:pStyle w:val="Style1"/>
        <w:contextualSpacing/>
        <w:rPr>
          <w:sz w:val="22"/>
          <w:szCs w:val="22"/>
        </w:rPr>
      </w:pPr>
      <w:bookmarkStart w:id="5" w:name="_Toc532909386"/>
      <w:r w:rsidRPr="007C6715">
        <w:rPr>
          <w:sz w:val="22"/>
          <w:szCs w:val="22"/>
        </w:rPr>
        <w:t xml:space="preserve">Critères </w:t>
      </w:r>
      <w:r w:rsidR="007D5EA1" w:rsidRPr="007C6715">
        <w:rPr>
          <w:sz w:val="22"/>
          <w:szCs w:val="22"/>
        </w:rPr>
        <w:t>de qualité</w:t>
      </w:r>
      <w:bookmarkEnd w:id="5"/>
    </w:p>
    <w:p w:rsidR="006F1FA8" w:rsidRPr="007C6715" w:rsidRDefault="006F1FA8" w:rsidP="000F4059">
      <w:pPr>
        <w:pStyle w:val="Style1"/>
        <w:spacing w:before="0" w:after="0" w:afterAutospacing="0"/>
        <w:contextualSpacing/>
        <w:jc w:val="both"/>
        <w:rPr>
          <w:sz w:val="24"/>
          <w:szCs w:val="24"/>
        </w:rPr>
      </w:pPr>
    </w:p>
    <w:p w:rsidR="00BA20A3" w:rsidRPr="0082019B" w:rsidRDefault="007D5EA1" w:rsidP="000F4059">
      <w:pPr>
        <w:numPr>
          <w:ilvl w:val="0"/>
          <w:numId w:val="4"/>
        </w:numPr>
        <w:spacing w:after="0" w:line="240" w:lineRule="auto"/>
        <w:jc w:val="both"/>
        <w:rPr>
          <w:sz w:val="24"/>
          <w:szCs w:val="24"/>
          <w:u w:val="single"/>
        </w:rPr>
      </w:pPr>
      <w:r w:rsidRPr="00C6576E">
        <w:rPr>
          <w:sz w:val="24"/>
          <w:szCs w:val="24"/>
          <w:u w:val="single"/>
        </w:rPr>
        <w:t xml:space="preserve">Les actions </w:t>
      </w:r>
      <w:r w:rsidR="00C57E49" w:rsidRPr="00B74F1A">
        <w:rPr>
          <w:sz w:val="24"/>
          <w:szCs w:val="24"/>
          <w:u w:val="single"/>
        </w:rPr>
        <w:t xml:space="preserve">en promotion de la santé </w:t>
      </w:r>
      <w:r w:rsidRPr="00613E5E">
        <w:rPr>
          <w:sz w:val="24"/>
          <w:szCs w:val="24"/>
          <w:u w:val="single"/>
        </w:rPr>
        <w:t>devront c</w:t>
      </w:r>
      <w:r w:rsidR="00BA20A3" w:rsidRPr="0082019B">
        <w:rPr>
          <w:sz w:val="24"/>
          <w:szCs w:val="24"/>
          <w:u w:val="single"/>
        </w:rPr>
        <w:t>orrespondre a</w:t>
      </w:r>
      <w:r w:rsidR="003865FE" w:rsidRPr="0082019B">
        <w:rPr>
          <w:sz w:val="24"/>
          <w:szCs w:val="24"/>
          <w:u w:val="single"/>
        </w:rPr>
        <w:t>ux critères de qualité suivants</w:t>
      </w:r>
      <w:r w:rsidR="006212E1" w:rsidRPr="0082019B">
        <w:rPr>
          <w:sz w:val="24"/>
          <w:szCs w:val="24"/>
          <w:u w:val="single"/>
        </w:rPr>
        <w:t xml:space="preserve"> </w:t>
      </w:r>
      <w:r w:rsidR="00BA20A3" w:rsidRPr="0082019B">
        <w:rPr>
          <w:sz w:val="24"/>
          <w:szCs w:val="24"/>
          <w:u w:val="single"/>
        </w:rPr>
        <w:t>:</w:t>
      </w:r>
    </w:p>
    <w:p w:rsidR="00BA20A3" w:rsidRPr="00C35FA8" w:rsidRDefault="003C6C3A" w:rsidP="000F4059">
      <w:pPr>
        <w:numPr>
          <w:ilvl w:val="0"/>
          <w:numId w:val="2"/>
        </w:numPr>
        <w:spacing w:before="60" w:after="0" w:line="240" w:lineRule="auto"/>
        <w:ind w:left="714" w:hanging="357"/>
        <w:jc w:val="both"/>
        <w:rPr>
          <w:rFonts w:cs="Calibri"/>
          <w:sz w:val="24"/>
          <w:szCs w:val="24"/>
          <w:lang w:eastAsia="fr-FR"/>
        </w:rPr>
      </w:pPr>
      <w:r w:rsidRPr="00F2119A">
        <w:rPr>
          <w:rFonts w:cs="Calibri"/>
          <w:sz w:val="24"/>
          <w:szCs w:val="24"/>
          <w:lang w:eastAsia="fr-FR"/>
        </w:rPr>
        <w:t>Inscription dans la durée ;</w:t>
      </w:r>
    </w:p>
    <w:p w:rsidR="00BA20A3" w:rsidRPr="007C6715" w:rsidRDefault="00BA20A3" w:rsidP="000F4059">
      <w:pPr>
        <w:numPr>
          <w:ilvl w:val="0"/>
          <w:numId w:val="2"/>
        </w:numPr>
        <w:spacing w:before="60" w:after="0" w:line="240" w:lineRule="auto"/>
        <w:ind w:left="714" w:hanging="357"/>
        <w:jc w:val="both"/>
        <w:rPr>
          <w:rFonts w:cs="Calibri"/>
          <w:sz w:val="24"/>
          <w:szCs w:val="24"/>
          <w:lang w:eastAsia="fr-FR"/>
        </w:rPr>
      </w:pPr>
      <w:r w:rsidRPr="007C6715">
        <w:rPr>
          <w:rFonts w:cs="Calibri"/>
          <w:sz w:val="24"/>
          <w:szCs w:val="24"/>
          <w:lang w:eastAsia="fr-FR"/>
        </w:rPr>
        <w:t>Positionnement du projet dans l’environnement médico-social du bassin de vie dans lequel il s’inscrit notamment, s’ils existen</w:t>
      </w:r>
      <w:r w:rsidR="00FA420C" w:rsidRPr="007C6715">
        <w:rPr>
          <w:rFonts w:cs="Calibri"/>
          <w:sz w:val="24"/>
          <w:szCs w:val="24"/>
          <w:lang w:eastAsia="fr-FR"/>
        </w:rPr>
        <w:t>t, les Contrats L</w:t>
      </w:r>
      <w:r w:rsidR="003C6C3A" w:rsidRPr="007C6715">
        <w:rPr>
          <w:rFonts w:cs="Calibri"/>
          <w:sz w:val="24"/>
          <w:szCs w:val="24"/>
          <w:lang w:eastAsia="fr-FR"/>
        </w:rPr>
        <w:t>ocaux de Santé ;</w:t>
      </w:r>
    </w:p>
    <w:p w:rsidR="00BA20A3" w:rsidRPr="007C6715" w:rsidRDefault="00BA20A3" w:rsidP="000F4059">
      <w:pPr>
        <w:numPr>
          <w:ilvl w:val="0"/>
          <w:numId w:val="2"/>
        </w:numPr>
        <w:spacing w:before="60" w:after="0" w:line="240" w:lineRule="auto"/>
        <w:ind w:left="714" w:hanging="357"/>
        <w:jc w:val="both"/>
        <w:rPr>
          <w:rFonts w:cs="Calibri"/>
          <w:sz w:val="24"/>
          <w:szCs w:val="24"/>
          <w:lang w:eastAsia="fr-FR"/>
        </w:rPr>
      </w:pPr>
      <w:r w:rsidRPr="007C6715">
        <w:rPr>
          <w:rFonts w:cs="Calibri"/>
          <w:sz w:val="24"/>
          <w:szCs w:val="24"/>
          <w:lang w:eastAsia="fr-FR"/>
        </w:rPr>
        <w:t xml:space="preserve">Présence de partenariats </w:t>
      </w:r>
      <w:r w:rsidR="003C6C3A" w:rsidRPr="007C6715">
        <w:rPr>
          <w:rFonts w:cs="Calibri"/>
          <w:sz w:val="24"/>
          <w:szCs w:val="24"/>
          <w:lang w:eastAsia="fr-FR"/>
        </w:rPr>
        <w:t>et mutualisation des ressources ;</w:t>
      </w:r>
    </w:p>
    <w:p w:rsidR="008F7846" w:rsidRPr="007C6715" w:rsidRDefault="00BA20A3" w:rsidP="000F4059">
      <w:pPr>
        <w:numPr>
          <w:ilvl w:val="0"/>
          <w:numId w:val="2"/>
        </w:numPr>
        <w:spacing w:before="60" w:after="0" w:line="240" w:lineRule="auto"/>
        <w:ind w:left="714" w:hanging="357"/>
        <w:jc w:val="both"/>
        <w:rPr>
          <w:rFonts w:cs="Calibri"/>
          <w:sz w:val="24"/>
          <w:szCs w:val="24"/>
          <w:lang w:eastAsia="fr-FR"/>
        </w:rPr>
      </w:pPr>
      <w:r w:rsidRPr="007C6715">
        <w:rPr>
          <w:rFonts w:cs="Calibri"/>
          <w:sz w:val="24"/>
          <w:szCs w:val="24"/>
          <w:lang w:eastAsia="fr-FR"/>
        </w:rPr>
        <w:t>Implication et participation de la population concernée et des professionnels.</w:t>
      </w:r>
    </w:p>
    <w:p w:rsidR="007E5F60" w:rsidRPr="007C6715" w:rsidRDefault="007E5F60" w:rsidP="00FB7370">
      <w:pPr>
        <w:spacing w:after="0" w:line="240" w:lineRule="auto"/>
        <w:jc w:val="both"/>
        <w:rPr>
          <w:rFonts w:cs="Calibri"/>
          <w:sz w:val="24"/>
          <w:szCs w:val="24"/>
          <w:lang w:eastAsia="fr-FR"/>
        </w:rPr>
      </w:pPr>
    </w:p>
    <w:p w:rsidR="008F7846" w:rsidRPr="007C6715" w:rsidRDefault="008F7846" w:rsidP="000F4059">
      <w:pPr>
        <w:spacing w:after="0" w:line="240" w:lineRule="auto"/>
        <w:jc w:val="both"/>
        <w:rPr>
          <w:rFonts w:cs="Calibri"/>
          <w:sz w:val="24"/>
          <w:szCs w:val="24"/>
          <w:lang w:eastAsia="fr-FR"/>
        </w:rPr>
      </w:pPr>
      <w:r w:rsidRPr="007C6715">
        <w:rPr>
          <w:rFonts w:cs="Calibri"/>
          <w:sz w:val="24"/>
          <w:szCs w:val="24"/>
          <w:lang w:eastAsia="fr-FR"/>
        </w:rPr>
        <w:t>L’action devra par ailleurs ne pas se limiter à la prévention d’une pathologie ou d’un facteur de risque, mais prendre en compte des aspects positifs et glob</w:t>
      </w:r>
      <w:r w:rsidR="005D2EFD" w:rsidRPr="007C6715">
        <w:rPr>
          <w:rFonts w:cs="Calibri"/>
          <w:sz w:val="24"/>
          <w:szCs w:val="24"/>
          <w:lang w:eastAsia="fr-FR"/>
        </w:rPr>
        <w:t>aux de la santé des individus (</w:t>
      </w:r>
      <w:r w:rsidRPr="007C6715">
        <w:rPr>
          <w:rFonts w:cs="Calibri"/>
          <w:sz w:val="24"/>
          <w:szCs w:val="24"/>
          <w:lang w:eastAsia="fr-FR"/>
        </w:rPr>
        <w:t xml:space="preserve">capacités à agir, confiance en soi, </w:t>
      </w:r>
      <w:r w:rsidR="005D2EFD" w:rsidRPr="007C6715">
        <w:rPr>
          <w:rFonts w:cs="Calibri"/>
          <w:sz w:val="24"/>
          <w:szCs w:val="24"/>
          <w:lang w:eastAsia="fr-FR"/>
        </w:rPr>
        <w:t>etc.</w:t>
      </w:r>
      <w:r w:rsidRPr="007C6715">
        <w:rPr>
          <w:rFonts w:cs="Calibri"/>
          <w:sz w:val="24"/>
          <w:szCs w:val="24"/>
          <w:lang w:eastAsia="fr-FR"/>
        </w:rPr>
        <w:t>…)</w:t>
      </w:r>
      <w:r w:rsidR="006212E1" w:rsidRPr="007C6715">
        <w:rPr>
          <w:rFonts w:cs="Calibri"/>
          <w:sz w:val="24"/>
          <w:szCs w:val="24"/>
          <w:lang w:eastAsia="fr-FR"/>
        </w:rPr>
        <w:t>.</w:t>
      </w:r>
    </w:p>
    <w:p w:rsidR="00764415" w:rsidRPr="007C6715" w:rsidRDefault="00764415" w:rsidP="000F4059">
      <w:pPr>
        <w:spacing w:after="0" w:line="240" w:lineRule="auto"/>
        <w:jc w:val="both"/>
        <w:rPr>
          <w:rFonts w:cs="Calibri"/>
          <w:lang w:eastAsia="fr-FR"/>
        </w:rPr>
      </w:pPr>
    </w:p>
    <w:p w:rsidR="0004064F" w:rsidRPr="007C6715" w:rsidRDefault="0004064F" w:rsidP="0004064F">
      <w:pPr>
        <w:pStyle w:val="Style1"/>
        <w:spacing w:before="120" w:after="0" w:afterAutospacing="0"/>
        <w:rPr>
          <w:sz w:val="22"/>
          <w:szCs w:val="22"/>
        </w:rPr>
      </w:pPr>
      <w:r w:rsidRPr="007C6715">
        <w:rPr>
          <w:sz w:val="22"/>
          <w:szCs w:val="22"/>
        </w:rPr>
        <w:t>Conformité avec les recommandations HAS Existantes</w:t>
      </w:r>
    </w:p>
    <w:p w:rsidR="0004064F" w:rsidRPr="007C6715" w:rsidRDefault="0004064F" w:rsidP="0004064F">
      <w:pPr>
        <w:spacing w:before="120"/>
        <w:jc w:val="both"/>
        <w:rPr>
          <w:rFonts w:cs="Calibri"/>
          <w:lang w:eastAsia="fr-FR"/>
        </w:rPr>
      </w:pPr>
      <w:r w:rsidRPr="00C6576E">
        <w:rPr>
          <w:rFonts w:cs="Calibri"/>
          <w:sz w:val="24"/>
          <w:szCs w:val="24"/>
          <w:lang w:eastAsia="fr-FR"/>
        </w:rPr>
        <w:t>Chaque action locale se doit d’être en conformité avec les recomm</w:t>
      </w:r>
      <w:r w:rsidRPr="00B74F1A">
        <w:rPr>
          <w:rFonts w:cs="Calibri"/>
          <w:sz w:val="24"/>
          <w:szCs w:val="24"/>
          <w:lang w:eastAsia="fr-FR"/>
        </w:rPr>
        <w:t>andations de la HAS en vigueur</w:t>
      </w:r>
      <w:r w:rsidRPr="00613E5E">
        <w:rPr>
          <w:rFonts w:cs="Calibri"/>
          <w:sz w:val="24"/>
          <w:szCs w:val="24"/>
          <w:lang w:eastAsia="fr-FR"/>
        </w:rPr>
        <w:t xml:space="preserve"> pour chaque dépistage des cancers</w:t>
      </w:r>
    </w:p>
    <w:p w:rsidR="0004064F" w:rsidRPr="007C6715" w:rsidRDefault="0004064F" w:rsidP="0004064F">
      <w:pPr>
        <w:pStyle w:val="Style1"/>
        <w:rPr>
          <w:sz w:val="22"/>
          <w:szCs w:val="22"/>
        </w:rPr>
      </w:pPr>
      <w:r w:rsidRPr="007C6715">
        <w:rPr>
          <w:sz w:val="22"/>
          <w:szCs w:val="22"/>
        </w:rPr>
        <w:t>Utilisation des outils de communication nationaux existants</w:t>
      </w:r>
    </w:p>
    <w:p w:rsidR="0004064F" w:rsidRPr="007C6715" w:rsidRDefault="0004064F" w:rsidP="0004064F">
      <w:pPr>
        <w:numPr>
          <w:ilvl w:val="0"/>
          <w:numId w:val="10"/>
        </w:numPr>
        <w:spacing w:after="0" w:line="240" w:lineRule="auto"/>
        <w:ind w:left="426" w:hanging="284"/>
        <w:jc w:val="both"/>
        <w:rPr>
          <w:sz w:val="24"/>
          <w:szCs w:val="24"/>
        </w:rPr>
      </w:pPr>
      <w:r w:rsidRPr="00C6576E">
        <w:rPr>
          <w:sz w:val="24"/>
          <w:szCs w:val="24"/>
        </w:rPr>
        <w:t>L’</w:t>
      </w:r>
      <w:r w:rsidRPr="00B74F1A">
        <w:rPr>
          <w:sz w:val="24"/>
          <w:szCs w:val="24"/>
        </w:rPr>
        <w:t>Institut National du Cancer</w:t>
      </w:r>
      <w:r w:rsidRPr="00613E5E">
        <w:rPr>
          <w:sz w:val="24"/>
          <w:szCs w:val="24"/>
        </w:rPr>
        <w:t> </w:t>
      </w:r>
      <w:r w:rsidRPr="0082019B">
        <w:rPr>
          <w:sz w:val="24"/>
          <w:szCs w:val="24"/>
        </w:rPr>
        <w:t>est responsable de la communication des dépistages des cancers</w:t>
      </w:r>
      <w:r w:rsidRPr="00F2119A">
        <w:rPr>
          <w:sz w:val="24"/>
          <w:szCs w:val="24"/>
        </w:rPr>
        <w:t>. P</w:t>
      </w:r>
      <w:r w:rsidRPr="00C35FA8">
        <w:rPr>
          <w:sz w:val="24"/>
          <w:szCs w:val="24"/>
        </w:rPr>
        <w:t>ar conséquent, lorsque les actions l</w:t>
      </w:r>
      <w:r w:rsidRPr="007C6715">
        <w:rPr>
          <w:sz w:val="24"/>
          <w:szCs w:val="24"/>
        </w:rPr>
        <w:t>ocales impliquent une communication sur les dépistages, ce sont les supports de l’INCa qui doivent être utilisés en priorité. Les CPAM peuvent les commander gratuitement sur son site après y avoir créé un compte : « </w:t>
      </w:r>
      <w:hyperlink r:id="rId8" w:history="1">
        <w:r w:rsidRPr="007C6715">
          <w:rPr>
            <w:rStyle w:val="Lienhypertexte"/>
            <w:sz w:val="24"/>
            <w:szCs w:val="24"/>
          </w:rPr>
          <w:t>https://www.e-cancer.fr/Expertises-et-publications/Catalogue-des-publications</w:t>
        </w:r>
      </w:hyperlink>
      <w:r w:rsidRPr="007C6715">
        <w:rPr>
          <w:sz w:val="24"/>
          <w:szCs w:val="24"/>
        </w:rPr>
        <w:t> ».</w:t>
      </w:r>
    </w:p>
    <w:p w:rsidR="0004064F" w:rsidRPr="007C6715" w:rsidRDefault="0004064F" w:rsidP="0004064F">
      <w:pPr>
        <w:numPr>
          <w:ilvl w:val="0"/>
          <w:numId w:val="10"/>
        </w:numPr>
        <w:spacing w:before="60" w:after="0" w:line="240" w:lineRule="auto"/>
        <w:ind w:left="425" w:hanging="357"/>
        <w:rPr>
          <w:sz w:val="24"/>
          <w:szCs w:val="24"/>
        </w:rPr>
      </w:pPr>
      <w:r w:rsidRPr="007C6715">
        <w:rPr>
          <w:sz w:val="24"/>
          <w:szCs w:val="24"/>
        </w:rPr>
        <w:t>Ameli pour l’Assurance Maladie</w:t>
      </w:r>
    </w:p>
    <w:p w:rsidR="0004064F" w:rsidRPr="007C6715" w:rsidRDefault="0004064F" w:rsidP="0004064F">
      <w:pPr>
        <w:numPr>
          <w:ilvl w:val="0"/>
          <w:numId w:val="10"/>
        </w:numPr>
        <w:spacing w:before="60" w:after="0" w:line="240" w:lineRule="auto"/>
        <w:ind w:left="425" w:hanging="357"/>
        <w:jc w:val="both"/>
        <w:rPr>
          <w:sz w:val="24"/>
          <w:szCs w:val="24"/>
        </w:rPr>
      </w:pPr>
      <w:r w:rsidRPr="00C6576E">
        <w:rPr>
          <w:sz w:val="24"/>
          <w:szCs w:val="24"/>
        </w:rPr>
        <w:t>Les centres régionaux de coordination des dépistages des cancers adaptent les outils de c</w:t>
      </w:r>
      <w:r w:rsidRPr="00B74F1A">
        <w:rPr>
          <w:sz w:val="24"/>
          <w:szCs w:val="24"/>
        </w:rPr>
        <w:t>ommunication nationaux à l’échelon local. A ce titre, les outils de communication « élaborés » par les centres régionaux de coordination des dépistages des cancers peuvent être repris</w:t>
      </w:r>
      <w:r w:rsidRPr="00613E5E">
        <w:rPr>
          <w:sz w:val="24"/>
          <w:szCs w:val="24"/>
        </w:rPr>
        <w:t xml:space="preserve"> (cf annexe)</w:t>
      </w:r>
      <w:r w:rsidRPr="0082019B">
        <w:rPr>
          <w:sz w:val="24"/>
          <w:szCs w:val="24"/>
        </w:rPr>
        <w:t>.</w:t>
      </w:r>
    </w:p>
    <w:p w:rsidR="0004064F" w:rsidRDefault="0004064F" w:rsidP="0004064F">
      <w:pPr>
        <w:numPr>
          <w:ilvl w:val="0"/>
          <w:numId w:val="10"/>
        </w:numPr>
        <w:spacing w:before="60" w:after="0" w:line="240" w:lineRule="auto"/>
        <w:ind w:left="425" w:hanging="357"/>
        <w:jc w:val="both"/>
        <w:rPr>
          <w:sz w:val="24"/>
          <w:szCs w:val="24"/>
        </w:rPr>
      </w:pPr>
      <w:r w:rsidRPr="00C6576E">
        <w:rPr>
          <w:sz w:val="24"/>
          <w:szCs w:val="24"/>
        </w:rPr>
        <w:t>Santé publique France </w:t>
      </w:r>
      <w:r w:rsidRPr="00B74F1A">
        <w:rPr>
          <w:sz w:val="24"/>
          <w:szCs w:val="24"/>
        </w:rPr>
        <w:t>réalise</w:t>
      </w:r>
      <w:r w:rsidRPr="00613E5E">
        <w:rPr>
          <w:sz w:val="24"/>
          <w:szCs w:val="24"/>
        </w:rPr>
        <w:t xml:space="preserve"> </w:t>
      </w:r>
      <w:r w:rsidRPr="0082019B">
        <w:rPr>
          <w:sz w:val="24"/>
          <w:szCs w:val="24"/>
        </w:rPr>
        <w:t xml:space="preserve">l’évaluation de la  participation au dépistage organisé de ces cancers. </w:t>
      </w:r>
    </w:p>
    <w:p w:rsidR="009330E7" w:rsidRPr="007C6715" w:rsidRDefault="009330E7" w:rsidP="009330E7">
      <w:pPr>
        <w:spacing w:before="60" w:after="0" w:line="240" w:lineRule="auto"/>
        <w:ind w:left="425"/>
        <w:jc w:val="both"/>
        <w:rPr>
          <w:sz w:val="24"/>
          <w:szCs w:val="24"/>
        </w:rPr>
      </w:pPr>
    </w:p>
    <w:p w:rsidR="003B209E" w:rsidRPr="007C6715" w:rsidRDefault="009F5852" w:rsidP="003B209E">
      <w:pPr>
        <w:pStyle w:val="Style1"/>
        <w:rPr>
          <w:sz w:val="22"/>
          <w:szCs w:val="22"/>
        </w:rPr>
      </w:pPr>
      <w:r>
        <w:rPr>
          <w:sz w:val="22"/>
          <w:szCs w:val="22"/>
        </w:rPr>
        <w:lastRenderedPageBreak/>
        <w:t>Types d’actions ne pouvant pas faire l’objet d’une demande de financement</w:t>
      </w:r>
    </w:p>
    <w:p w:rsidR="003B209E" w:rsidRPr="00C6576E" w:rsidRDefault="003B209E" w:rsidP="003B209E">
      <w:pPr>
        <w:pStyle w:val="Default"/>
        <w:jc w:val="both"/>
      </w:pPr>
      <w:r w:rsidRPr="00C6576E">
        <w:t xml:space="preserve">Sont exclues de l’octroi d’une dotation, les actions locales qui ont vocation à financer : </w:t>
      </w:r>
    </w:p>
    <w:p w:rsidR="005D008A" w:rsidRPr="00B74F1A" w:rsidRDefault="005D008A" w:rsidP="003B209E">
      <w:pPr>
        <w:pStyle w:val="Default"/>
        <w:jc w:val="both"/>
      </w:pPr>
    </w:p>
    <w:p w:rsidR="00785EFC" w:rsidRDefault="00785EFC" w:rsidP="00785EFC">
      <w:pPr>
        <w:pStyle w:val="Default"/>
        <w:numPr>
          <w:ilvl w:val="0"/>
          <w:numId w:val="24"/>
        </w:numPr>
        <w:jc w:val="both"/>
      </w:pPr>
      <w:r>
        <w:t>Les actions de relance (courriel, SMS etc…)</w:t>
      </w:r>
      <w:r w:rsidR="009F5852">
        <w:t xml:space="preserve">. Elles </w:t>
      </w:r>
      <w:r>
        <w:t>ne sont plus financées sur le FNPEIS</w:t>
      </w:r>
      <w:r w:rsidR="009F5852">
        <w:t xml:space="preserve"> mais </w:t>
      </w:r>
      <w:r>
        <w:t>prises en charge dans le cadre de l’outil OSMOSE</w:t>
      </w:r>
      <w:r w:rsidR="009F5852">
        <w:t> ;</w:t>
      </w:r>
    </w:p>
    <w:p w:rsidR="00FA61A0" w:rsidRPr="00785EFC" w:rsidRDefault="009F5852" w:rsidP="00B41989">
      <w:pPr>
        <w:pStyle w:val="Default"/>
        <w:numPr>
          <w:ilvl w:val="0"/>
          <w:numId w:val="24"/>
        </w:numPr>
        <w:spacing w:before="60"/>
        <w:ind w:left="714" w:hanging="357"/>
        <w:jc w:val="both"/>
      </w:pPr>
      <w:r>
        <w:t>L’a</w:t>
      </w:r>
      <w:r w:rsidR="005D008A" w:rsidRPr="00785EFC">
        <w:t>ffichage urbain</w:t>
      </w:r>
      <w:r w:rsidR="00B41989">
        <w:t> ;</w:t>
      </w:r>
    </w:p>
    <w:p w:rsidR="00FA61A0" w:rsidRPr="00785EFC" w:rsidRDefault="00FA61A0" w:rsidP="00B41989">
      <w:pPr>
        <w:pStyle w:val="Default"/>
        <w:numPr>
          <w:ilvl w:val="0"/>
          <w:numId w:val="24"/>
        </w:numPr>
        <w:spacing w:before="60"/>
        <w:ind w:left="714" w:hanging="357"/>
        <w:jc w:val="both"/>
      </w:pPr>
      <w:r w:rsidRPr="00785EFC">
        <w:t xml:space="preserve">Les services </w:t>
      </w:r>
      <w:r w:rsidR="009F5852">
        <w:t>proposés par</w:t>
      </w:r>
      <w:r w:rsidRPr="00785EFC">
        <w:t xml:space="preserve"> La Poste</w:t>
      </w:r>
      <w:r w:rsidR="009F5852">
        <w:t> ;</w:t>
      </w:r>
    </w:p>
    <w:p w:rsidR="00FA61A0" w:rsidRPr="00785EFC" w:rsidRDefault="00FA61A0" w:rsidP="00B41989">
      <w:pPr>
        <w:pStyle w:val="Default"/>
        <w:numPr>
          <w:ilvl w:val="0"/>
          <w:numId w:val="24"/>
        </w:numPr>
        <w:spacing w:before="60"/>
        <w:ind w:left="714" w:hanging="357"/>
        <w:jc w:val="both"/>
      </w:pPr>
      <w:r w:rsidRPr="00785EFC">
        <w:t>Les vacations psychologues ne sont pas prises en charge</w:t>
      </w:r>
      <w:r w:rsidR="00B41989">
        <w:t> ;</w:t>
      </w:r>
    </w:p>
    <w:p w:rsidR="00284C71" w:rsidRPr="00785EFC" w:rsidRDefault="00284C71" w:rsidP="00B41989">
      <w:pPr>
        <w:pStyle w:val="Default"/>
        <w:numPr>
          <w:ilvl w:val="0"/>
          <w:numId w:val="24"/>
        </w:numPr>
        <w:spacing w:before="60"/>
        <w:ind w:left="714" w:hanging="357"/>
        <w:jc w:val="both"/>
      </w:pPr>
      <w:r w:rsidRPr="00785EFC">
        <w:t>Le personnel des Centres Régionaux de Coordination des Dépistages des Cancers.</w:t>
      </w:r>
    </w:p>
    <w:p w:rsidR="00617EB8" w:rsidRDefault="00617EB8" w:rsidP="000F4059">
      <w:pPr>
        <w:spacing w:after="0" w:line="240" w:lineRule="auto"/>
        <w:jc w:val="both"/>
        <w:rPr>
          <w:rFonts w:cs="Calibri"/>
          <w:sz w:val="24"/>
          <w:szCs w:val="24"/>
          <w:lang w:eastAsia="fr-FR"/>
        </w:rPr>
      </w:pPr>
    </w:p>
    <w:p w:rsidR="00806020" w:rsidRPr="007D5EA1" w:rsidRDefault="00806020"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6" w:name="_Toc532909390"/>
      <w:r w:rsidRPr="00870888">
        <w:rPr>
          <w:i w:val="0"/>
          <w:sz w:val="24"/>
        </w:rPr>
        <w:t>L’EVALUATION DES ACTIONS</w:t>
      </w:r>
      <w:bookmarkEnd w:id="6"/>
    </w:p>
    <w:p w:rsidR="00C35FA8" w:rsidRDefault="001D1DE6" w:rsidP="00806020">
      <w:pPr>
        <w:pStyle w:val="Default"/>
        <w:spacing w:line="264" w:lineRule="auto"/>
        <w:jc w:val="both"/>
      </w:pPr>
      <w:r>
        <w:t xml:space="preserve">Le projet de financement d’action locale devra comprendre une proposition d’évaluation de l’action, </w:t>
      </w:r>
      <w:r w:rsidRPr="00B41989">
        <w:rPr>
          <w:u w:val="single"/>
        </w:rPr>
        <w:t>dès son dépôt</w:t>
      </w:r>
      <w:r>
        <w:t xml:space="preserve">. </w:t>
      </w:r>
    </w:p>
    <w:p w:rsidR="001D1DE6" w:rsidRDefault="001D1DE6" w:rsidP="00C35FA8">
      <w:pPr>
        <w:pStyle w:val="Default"/>
        <w:spacing w:line="264" w:lineRule="auto"/>
        <w:jc w:val="both"/>
        <w:rPr>
          <w:sz w:val="22"/>
          <w:szCs w:val="22"/>
        </w:rPr>
      </w:pPr>
    </w:p>
    <w:p w:rsidR="00C35FA8" w:rsidRDefault="00C35FA8" w:rsidP="00C35FA8">
      <w:pPr>
        <w:pStyle w:val="Default"/>
        <w:spacing w:line="264" w:lineRule="auto"/>
        <w:jc w:val="both"/>
        <w:rPr>
          <w:sz w:val="22"/>
          <w:szCs w:val="22"/>
        </w:rPr>
      </w:pPr>
      <w:r>
        <w:rPr>
          <w:sz w:val="22"/>
          <w:szCs w:val="22"/>
        </w:rPr>
        <w:t>L’évaluation des actions comprend</w:t>
      </w:r>
      <w:r w:rsidR="001D1DE6">
        <w:rPr>
          <w:sz w:val="22"/>
          <w:szCs w:val="22"/>
        </w:rPr>
        <w:t>ra, dans la mesure du</w:t>
      </w:r>
      <w:r>
        <w:rPr>
          <w:sz w:val="22"/>
          <w:szCs w:val="22"/>
        </w:rPr>
        <w:t xml:space="preserve"> possible une évaluation de :</w:t>
      </w:r>
    </w:p>
    <w:p w:rsidR="00C35FA8" w:rsidRDefault="001D1DE6" w:rsidP="00C35FA8">
      <w:pPr>
        <w:pStyle w:val="Default"/>
        <w:numPr>
          <w:ilvl w:val="0"/>
          <w:numId w:val="2"/>
        </w:numPr>
        <w:spacing w:line="264" w:lineRule="auto"/>
        <w:jc w:val="both"/>
        <w:rPr>
          <w:sz w:val="22"/>
          <w:szCs w:val="22"/>
        </w:rPr>
      </w:pPr>
      <w:r>
        <w:rPr>
          <w:sz w:val="22"/>
          <w:szCs w:val="22"/>
        </w:rPr>
        <w:t>processus </w:t>
      </w:r>
      <w:r w:rsidR="00C35FA8">
        <w:rPr>
          <w:sz w:val="22"/>
          <w:szCs w:val="22"/>
        </w:rPr>
        <w:t>: évaluation de la mise en œuvre effective de l’action mise en place,</w:t>
      </w:r>
    </w:p>
    <w:p w:rsidR="00C35FA8" w:rsidRDefault="001D1DE6" w:rsidP="00C35FA8">
      <w:pPr>
        <w:pStyle w:val="Default"/>
        <w:numPr>
          <w:ilvl w:val="0"/>
          <w:numId w:val="2"/>
        </w:numPr>
        <w:spacing w:line="264" w:lineRule="auto"/>
        <w:jc w:val="both"/>
        <w:rPr>
          <w:sz w:val="22"/>
          <w:szCs w:val="22"/>
        </w:rPr>
      </w:pPr>
      <w:r>
        <w:rPr>
          <w:sz w:val="22"/>
          <w:szCs w:val="22"/>
        </w:rPr>
        <w:t>résultat </w:t>
      </w:r>
      <w:r w:rsidR="00C35FA8">
        <w:rPr>
          <w:sz w:val="22"/>
          <w:szCs w:val="22"/>
        </w:rPr>
        <w:t xml:space="preserve">: évaluation des </w:t>
      </w:r>
      <w:r w:rsidR="00C35FA8" w:rsidRPr="00EB22E8">
        <w:rPr>
          <w:sz w:val="22"/>
          <w:szCs w:val="22"/>
        </w:rPr>
        <w:t xml:space="preserve">effets réels </w:t>
      </w:r>
      <w:r w:rsidR="00C35FA8">
        <w:rPr>
          <w:sz w:val="22"/>
          <w:szCs w:val="22"/>
        </w:rPr>
        <w:t>(changement de comportements, idées reçues etc…).</w:t>
      </w:r>
    </w:p>
    <w:p w:rsidR="001D1DE6" w:rsidRDefault="001D1DE6" w:rsidP="00C35FA8">
      <w:pPr>
        <w:pStyle w:val="Default"/>
        <w:spacing w:line="264" w:lineRule="auto"/>
        <w:jc w:val="both"/>
        <w:rPr>
          <w:sz w:val="22"/>
          <w:szCs w:val="22"/>
        </w:rPr>
      </w:pPr>
    </w:p>
    <w:p w:rsidR="00C35FA8" w:rsidRPr="00C35FA8" w:rsidRDefault="00C35FA8" w:rsidP="00C35FA8">
      <w:pPr>
        <w:pStyle w:val="Default"/>
        <w:spacing w:line="264" w:lineRule="auto"/>
        <w:jc w:val="both"/>
        <w:rPr>
          <w:sz w:val="22"/>
          <w:szCs w:val="22"/>
        </w:rPr>
      </w:pPr>
      <w:r w:rsidRPr="00C35FA8">
        <w:rPr>
          <w:sz w:val="22"/>
          <w:szCs w:val="22"/>
        </w:rPr>
        <w:t xml:space="preserve">Des outils d’évaluation communs </w:t>
      </w:r>
      <w:r>
        <w:rPr>
          <w:sz w:val="22"/>
          <w:szCs w:val="22"/>
        </w:rPr>
        <w:t>tels que des questionnaires distribués avant et après l’action </w:t>
      </w:r>
      <w:r w:rsidRPr="00C35FA8">
        <w:rPr>
          <w:sz w:val="22"/>
          <w:szCs w:val="22"/>
        </w:rPr>
        <w:t xml:space="preserve"> </w:t>
      </w:r>
      <w:r>
        <w:rPr>
          <w:sz w:val="22"/>
          <w:szCs w:val="22"/>
        </w:rPr>
        <w:t xml:space="preserve">aux participants </w:t>
      </w:r>
      <w:r w:rsidR="00691856">
        <w:rPr>
          <w:sz w:val="22"/>
          <w:szCs w:val="22"/>
        </w:rPr>
        <w:t>peuvent être proposés</w:t>
      </w:r>
      <w:r w:rsidR="00691856" w:rsidRPr="00C35FA8">
        <w:rPr>
          <w:sz w:val="22"/>
          <w:szCs w:val="22"/>
        </w:rPr>
        <w:t xml:space="preserve"> </w:t>
      </w:r>
      <w:r>
        <w:rPr>
          <w:sz w:val="22"/>
          <w:szCs w:val="22"/>
        </w:rPr>
        <w:t>afin d’évaluer</w:t>
      </w:r>
      <w:r w:rsidR="001D1DE6">
        <w:rPr>
          <w:sz w:val="22"/>
          <w:szCs w:val="22"/>
        </w:rPr>
        <w:t xml:space="preserve"> notamment</w:t>
      </w:r>
      <w:r w:rsidRPr="00C35FA8">
        <w:rPr>
          <w:sz w:val="22"/>
          <w:szCs w:val="22"/>
        </w:rPr>
        <w:t> :</w:t>
      </w:r>
    </w:p>
    <w:p w:rsidR="00C35FA8" w:rsidRDefault="00C35FA8" w:rsidP="00B41989">
      <w:pPr>
        <w:pStyle w:val="Default"/>
        <w:numPr>
          <w:ilvl w:val="0"/>
          <w:numId w:val="25"/>
        </w:numPr>
        <w:spacing w:before="60" w:line="264" w:lineRule="auto"/>
        <w:ind w:left="714" w:hanging="357"/>
        <w:rPr>
          <w:sz w:val="22"/>
          <w:szCs w:val="22"/>
        </w:rPr>
      </w:pPr>
      <w:r>
        <w:rPr>
          <w:sz w:val="22"/>
          <w:szCs w:val="22"/>
        </w:rPr>
        <w:t>la qualité des échanges</w:t>
      </w:r>
      <w:r w:rsidR="00B41989">
        <w:rPr>
          <w:sz w:val="22"/>
          <w:szCs w:val="22"/>
        </w:rPr>
        <w:t> ;</w:t>
      </w:r>
    </w:p>
    <w:p w:rsidR="00C35FA8" w:rsidRDefault="00C35FA8" w:rsidP="00B41989">
      <w:pPr>
        <w:pStyle w:val="Default"/>
        <w:numPr>
          <w:ilvl w:val="0"/>
          <w:numId w:val="25"/>
        </w:numPr>
        <w:spacing w:before="60" w:line="264" w:lineRule="auto"/>
        <w:ind w:left="714" w:hanging="357"/>
        <w:rPr>
          <w:sz w:val="22"/>
          <w:szCs w:val="22"/>
        </w:rPr>
      </w:pPr>
      <w:r w:rsidRPr="0006580B">
        <w:rPr>
          <w:sz w:val="22"/>
          <w:szCs w:val="22"/>
        </w:rPr>
        <w:t>la participation aux actions ;</w:t>
      </w:r>
    </w:p>
    <w:p w:rsidR="00C35FA8" w:rsidRDefault="00691856" w:rsidP="00B41989">
      <w:pPr>
        <w:pStyle w:val="Default"/>
        <w:numPr>
          <w:ilvl w:val="0"/>
          <w:numId w:val="25"/>
        </w:numPr>
        <w:spacing w:before="60" w:line="264" w:lineRule="auto"/>
        <w:ind w:left="714" w:hanging="357"/>
        <w:rPr>
          <w:sz w:val="22"/>
          <w:szCs w:val="22"/>
        </w:rPr>
      </w:pPr>
      <w:r>
        <w:rPr>
          <w:sz w:val="22"/>
          <w:szCs w:val="22"/>
        </w:rPr>
        <w:t xml:space="preserve">un </w:t>
      </w:r>
      <w:r w:rsidR="00C35FA8">
        <w:rPr>
          <w:sz w:val="22"/>
          <w:szCs w:val="22"/>
        </w:rPr>
        <w:t>changement de comportement</w:t>
      </w:r>
      <w:r w:rsidR="00B41989">
        <w:rPr>
          <w:sz w:val="22"/>
          <w:szCs w:val="22"/>
        </w:rPr>
        <w:t> ;</w:t>
      </w:r>
    </w:p>
    <w:p w:rsidR="00C35FA8" w:rsidRDefault="00691856" w:rsidP="00B41989">
      <w:pPr>
        <w:pStyle w:val="Default"/>
        <w:numPr>
          <w:ilvl w:val="0"/>
          <w:numId w:val="25"/>
        </w:numPr>
        <w:spacing w:before="60" w:line="264" w:lineRule="auto"/>
        <w:ind w:left="714" w:hanging="357"/>
        <w:rPr>
          <w:sz w:val="22"/>
          <w:szCs w:val="22"/>
        </w:rPr>
      </w:pPr>
      <w:r>
        <w:rPr>
          <w:sz w:val="22"/>
          <w:szCs w:val="22"/>
        </w:rPr>
        <w:t xml:space="preserve">un </w:t>
      </w:r>
      <w:r w:rsidR="00C35FA8">
        <w:rPr>
          <w:sz w:val="22"/>
          <w:szCs w:val="22"/>
        </w:rPr>
        <w:t>éclairage sur les idées reçues au dépistage</w:t>
      </w:r>
      <w:r w:rsidR="00B41989">
        <w:rPr>
          <w:sz w:val="22"/>
          <w:szCs w:val="22"/>
        </w:rPr>
        <w:t> ;</w:t>
      </w:r>
    </w:p>
    <w:p w:rsidR="00C35FA8" w:rsidRPr="00C35FA8" w:rsidRDefault="00C35FA8" w:rsidP="00B41989">
      <w:pPr>
        <w:pStyle w:val="Default"/>
        <w:numPr>
          <w:ilvl w:val="0"/>
          <w:numId w:val="25"/>
        </w:numPr>
        <w:spacing w:before="60" w:line="264" w:lineRule="auto"/>
        <w:ind w:left="714" w:hanging="357"/>
        <w:rPr>
          <w:sz w:val="22"/>
          <w:szCs w:val="22"/>
        </w:rPr>
      </w:pPr>
      <w:r w:rsidRPr="00C35FA8">
        <w:rPr>
          <w:sz w:val="22"/>
          <w:szCs w:val="22"/>
        </w:rPr>
        <w:t>la satisfaction globale des participants</w:t>
      </w:r>
      <w:r>
        <w:rPr>
          <w:sz w:val="22"/>
          <w:szCs w:val="22"/>
        </w:rPr>
        <w:t>.</w:t>
      </w:r>
    </w:p>
    <w:p w:rsidR="00C35FA8" w:rsidRPr="00785EFC" w:rsidRDefault="00C35FA8" w:rsidP="00806020">
      <w:pPr>
        <w:pStyle w:val="Default"/>
        <w:spacing w:line="264" w:lineRule="auto"/>
        <w:jc w:val="both"/>
      </w:pPr>
    </w:p>
    <w:p w:rsidR="00BD6B05" w:rsidRDefault="00BD6B05">
      <w:pPr>
        <w:spacing w:after="0" w:line="240" w:lineRule="auto"/>
        <w:rPr>
          <w:rFonts w:ascii="Cambria" w:eastAsia="Times New Roman" w:hAnsi="Cambria"/>
          <w:b/>
          <w:bCs/>
          <w:iCs/>
          <w:sz w:val="24"/>
          <w:szCs w:val="28"/>
        </w:rPr>
      </w:pPr>
      <w:r>
        <w:rPr>
          <w:i/>
          <w:sz w:val="24"/>
        </w:rPr>
        <w:br w:type="page"/>
      </w:r>
    </w:p>
    <w:p w:rsidR="00BD6B05" w:rsidRDefault="00BD6B05" w:rsidP="00BD6B05">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r>
        <w:rPr>
          <w:i w:val="0"/>
          <w:sz w:val="24"/>
        </w:rPr>
        <w:lastRenderedPageBreak/>
        <w:t>REGLE</w:t>
      </w:r>
      <w:r w:rsidRPr="00870888">
        <w:rPr>
          <w:i w:val="0"/>
          <w:sz w:val="24"/>
        </w:rPr>
        <w:t>S</w:t>
      </w:r>
      <w:r>
        <w:rPr>
          <w:i w:val="0"/>
          <w:sz w:val="24"/>
        </w:rPr>
        <w:t xml:space="preserve"> DE FINANCEMENT</w:t>
      </w:r>
    </w:p>
    <w:p w:rsidR="00BD6B05" w:rsidRPr="00136D64" w:rsidRDefault="00BD6B05" w:rsidP="00BD6B05">
      <w:pPr>
        <w:spacing w:after="0" w:line="240" w:lineRule="auto"/>
      </w:pPr>
    </w:p>
    <w:p w:rsidR="00BD6B05" w:rsidRPr="000E3B53" w:rsidRDefault="00BD6B05" w:rsidP="00BD6B05">
      <w:pPr>
        <w:pStyle w:val="Style1"/>
        <w:numPr>
          <w:ilvl w:val="0"/>
          <w:numId w:val="28"/>
        </w:numPr>
        <w:spacing w:before="0" w:after="0" w:afterAutospacing="0"/>
        <w:ind w:left="0" w:firstLine="0"/>
        <w:rPr>
          <w:sz w:val="22"/>
          <w:szCs w:val="22"/>
        </w:rPr>
      </w:pPr>
      <w:r w:rsidRPr="000E3B53">
        <w:rPr>
          <w:sz w:val="22"/>
          <w:szCs w:val="22"/>
        </w:rPr>
        <w:t>Peuvent relever d’un financement </w:t>
      </w:r>
      <w:r>
        <w:rPr>
          <w:sz w:val="22"/>
          <w:szCs w:val="22"/>
        </w:rPr>
        <w:t xml:space="preserve">les postes suivants </w:t>
      </w:r>
      <w:r w:rsidRPr="000E3B53">
        <w:rPr>
          <w:sz w:val="22"/>
          <w:szCs w:val="22"/>
        </w:rPr>
        <w:t>:</w:t>
      </w:r>
    </w:p>
    <w:p w:rsidR="00BD6B05" w:rsidRPr="00136D64" w:rsidRDefault="00BD6B05" w:rsidP="00BD6B05">
      <w:pPr>
        <w:spacing w:after="0" w:line="240" w:lineRule="auto"/>
        <w:ind w:left="720"/>
        <w:jc w:val="both"/>
      </w:pPr>
    </w:p>
    <w:p w:rsidR="00BD6B05" w:rsidRDefault="00BD6B05" w:rsidP="00BD6B05">
      <w:pPr>
        <w:spacing w:after="0" w:line="240" w:lineRule="auto"/>
        <w:jc w:val="both"/>
        <w:rPr>
          <w:b/>
        </w:rPr>
      </w:pPr>
      <w:r w:rsidRPr="00136D64">
        <w:rPr>
          <w:b/>
        </w:rPr>
        <w:t>→ Vacation/Rémunération des intervenants externes à l’institution </w:t>
      </w:r>
    </w:p>
    <w:p w:rsidR="00BD6B05" w:rsidRDefault="00BD6B05" w:rsidP="00BD6B05">
      <w:pPr>
        <w:spacing w:before="120" w:after="0" w:line="240" w:lineRule="auto"/>
        <w:jc w:val="both"/>
      </w:pPr>
      <w:r w:rsidRPr="00136D64">
        <w:t xml:space="preserve">Les barèmes de référence sont les suivants : </w:t>
      </w:r>
    </w:p>
    <w:p w:rsidR="00BD6B05" w:rsidRPr="00136D64" w:rsidRDefault="00BD6B05" w:rsidP="00BD6B05">
      <w:pPr>
        <w:numPr>
          <w:ilvl w:val="0"/>
          <w:numId w:val="29"/>
        </w:numPr>
        <w:spacing w:before="60" w:after="0" w:line="240" w:lineRule="auto"/>
        <w:ind w:left="0" w:firstLine="0"/>
        <w:jc w:val="both"/>
      </w:pPr>
      <w:r w:rsidRPr="00136D64">
        <w:t>Bilans collectifs/ateliers ou vacations : indemnisation forfaitaire pour une séance de 2 heures minimum (préparation et évaluation inclues dans le forfait) :</w:t>
      </w:r>
    </w:p>
    <w:p w:rsidR="00BD6B05" w:rsidRPr="00136D64" w:rsidRDefault="00BD6B05" w:rsidP="00BD6B05">
      <w:pPr>
        <w:numPr>
          <w:ilvl w:val="0"/>
          <w:numId w:val="19"/>
        </w:numPr>
        <w:spacing w:after="0" w:line="240" w:lineRule="auto"/>
        <w:ind w:left="708" w:firstLine="0"/>
        <w:jc w:val="both"/>
      </w:pPr>
      <w:r w:rsidRPr="00136D64">
        <w:t xml:space="preserve">Médecins : forfait 150 </w:t>
      </w:r>
      <w:r>
        <w:t>€ ;</w:t>
      </w:r>
    </w:p>
    <w:p w:rsidR="00BD6B05" w:rsidRPr="00136D64" w:rsidRDefault="00BD6B05" w:rsidP="00BD6B05">
      <w:pPr>
        <w:numPr>
          <w:ilvl w:val="0"/>
          <w:numId w:val="20"/>
        </w:numPr>
        <w:spacing w:after="0" w:line="240" w:lineRule="auto"/>
        <w:ind w:left="708" w:firstLine="0"/>
        <w:jc w:val="both"/>
      </w:pPr>
      <w:r w:rsidRPr="00136D64">
        <w:t>Auxiliaires médica</w:t>
      </w:r>
      <w:r>
        <w:t xml:space="preserve">ux (masseurs kiné, infirmières </w:t>
      </w:r>
      <w:r w:rsidRPr="00136D64">
        <w:t>…) : forfait 100 €</w:t>
      </w:r>
      <w:r>
        <w:t> ;</w:t>
      </w:r>
    </w:p>
    <w:p w:rsidR="00BD6B05" w:rsidRDefault="00BD6B05" w:rsidP="00BD6B05">
      <w:pPr>
        <w:numPr>
          <w:ilvl w:val="0"/>
          <w:numId w:val="21"/>
        </w:numPr>
        <w:spacing w:after="0" w:line="240" w:lineRule="auto"/>
        <w:ind w:left="708" w:firstLine="0"/>
        <w:jc w:val="both"/>
      </w:pPr>
      <w:r w:rsidRPr="00136D64">
        <w:t>Non professionnels de santé : forfait 80 €.</w:t>
      </w:r>
    </w:p>
    <w:p w:rsidR="00BD6B05" w:rsidRPr="004A5F1E" w:rsidRDefault="00BD6B05" w:rsidP="00BD6B05">
      <w:pPr>
        <w:numPr>
          <w:ilvl w:val="0"/>
          <w:numId w:val="29"/>
        </w:numPr>
        <w:spacing w:before="60" w:after="0" w:line="240" w:lineRule="auto"/>
        <w:ind w:left="0" w:firstLine="0"/>
        <w:jc w:val="both"/>
        <w:rPr>
          <w:szCs w:val="24"/>
        </w:rPr>
      </w:pPr>
      <w:r w:rsidRPr="004A5F1E">
        <w:t xml:space="preserve">Bilan individuel </w:t>
      </w:r>
      <w:r w:rsidRPr="004A5F1E">
        <w:rPr>
          <w:szCs w:val="24"/>
        </w:rPr>
        <w:t xml:space="preserve">diététicienne : forfait </w:t>
      </w:r>
      <w:r>
        <w:rPr>
          <w:szCs w:val="24"/>
        </w:rPr>
        <w:t>40 € pour 1 heure minimum ;</w:t>
      </w:r>
    </w:p>
    <w:p w:rsidR="00BD6B05" w:rsidRPr="005E62E0" w:rsidRDefault="00BD6B05" w:rsidP="00BD6B05">
      <w:pPr>
        <w:numPr>
          <w:ilvl w:val="0"/>
          <w:numId w:val="29"/>
        </w:numPr>
        <w:spacing w:before="60" w:after="0" w:line="240" w:lineRule="auto"/>
        <w:ind w:left="0" w:firstLine="0"/>
        <w:jc w:val="both"/>
        <w:rPr>
          <w:i/>
          <w:szCs w:val="24"/>
        </w:rPr>
      </w:pPr>
      <w:r w:rsidRPr="001504FD">
        <w:rPr>
          <w:szCs w:val="24"/>
        </w:rPr>
        <w:t>Indemnités kilométriques</w:t>
      </w:r>
      <w:r w:rsidRPr="00E028B7">
        <w:rPr>
          <w:szCs w:val="24"/>
        </w:rPr>
        <w:t xml:space="preserve"> : </w:t>
      </w:r>
      <w:r>
        <w:rPr>
          <w:szCs w:val="24"/>
        </w:rPr>
        <w:t>financement possible</w:t>
      </w:r>
      <w:r w:rsidRPr="00E028B7">
        <w:rPr>
          <w:szCs w:val="24"/>
        </w:rPr>
        <w:t xml:space="preserve"> à la hauteur du barème fiscal en vigueur.</w:t>
      </w:r>
    </w:p>
    <w:p w:rsidR="00BD6B05" w:rsidRPr="00356EE9" w:rsidRDefault="00BD6B05" w:rsidP="00BD6B05">
      <w:pPr>
        <w:spacing w:after="0" w:line="240" w:lineRule="auto"/>
        <w:jc w:val="both"/>
        <w:rPr>
          <w:i/>
          <w:szCs w:val="24"/>
        </w:rPr>
      </w:pPr>
    </w:p>
    <w:p w:rsidR="00BD6B05" w:rsidRDefault="00BD6B05" w:rsidP="00BD6B05">
      <w:pPr>
        <w:spacing w:after="0" w:line="240" w:lineRule="auto"/>
        <w:jc w:val="both"/>
        <w:rPr>
          <w:b/>
        </w:rPr>
      </w:pPr>
      <w:r w:rsidRPr="00136D64">
        <w:rPr>
          <w:b/>
        </w:rPr>
        <w:t xml:space="preserve">→ </w:t>
      </w:r>
      <w:r w:rsidRPr="00356EE9">
        <w:rPr>
          <w:b/>
        </w:rPr>
        <w:t>Formation et information des professionnels ou de personnes-relais</w:t>
      </w:r>
    </w:p>
    <w:p w:rsidR="00BD6B05" w:rsidRDefault="00BD6B05" w:rsidP="00BD6B05">
      <w:pPr>
        <w:spacing w:before="120" w:after="0" w:line="240" w:lineRule="auto"/>
        <w:jc w:val="both"/>
        <w:rPr>
          <w:szCs w:val="24"/>
        </w:rPr>
      </w:pPr>
      <w:r>
        <w:rPr>
          <w:szCs w:val="24"/>
        </w:rPr>
        <w:t>P</w:t>
      </w:r>
      <w:r w:rsidRPr="00E028B7">
        <w:rPr>
          <w:szCs w:val="24"/>
        </w:rPr>
        <w:t xml:space="preserve">euvent être financées </w:t>
      </w:r>
      <w:r>
        <w:rPr>
          <w:szCs w:val="24"/>
        </w:rPr>
        <w:t>à condition d’être</w:t>
      </w:r>
      <w:r w:rsidRPr="00E028B7">
        <w:rPr>
          <w:szCs w:val="24"/>
        </w:rPr>
        <w:t xml:space="preserve"> </w:t>
      </w:r>
      <w:r w:rsidRPr="005E62E0">
        <w:rPr>
          <w:szCs w:val="24"/>
        </w:rPr>
        <w:t>en lien direct</w:t>
      </w:r>
      <w:r w:rsidRPr="00E028B7">
        <w:rPr>
          <w:szCs w:val="24"/>
        </w:rPr>
        <w:t xml:space="preserve"> avec une action</w:t>
      </w:r>
      <w:r>
        <w:rPr>
          <w:szCs w:val="24"/>
        </w:rPr>
        <w:t xml:space="preserve"> du projet.</w:t>
      </w:r>
      <w:r w:rsidRPr="00E028B7">
        <w:rPr>
          <w:szCs w:val="24"/>
        </w:rPr>
        <w:t xml:space="preserve"> </w:t>
      </w:r>
    </w:p>
    <w:p w:rsidR="00BD6B05" w:rsidRPr="00E028B7" w:rsidRDefault="00BD6B05" w:rsidP="00BD6B05">
      <w:pPr>
        <w:spacing w:after="0" w:line="240" w:lineRule="auto"/>
        <w:jc w:val="both"/>
        <w:rPr>
          <w:szCs w:val="24"/>
        </w:rPr>
      </w:pPr>
    </w:p>
    <w:p w:rsidR="00BD6B05" w:rsidRDefault="00BD6B05" w:rsidP="00BD6B05">
      <w:pPr>
        <w:spacing w:after="0" w:line="240" w:lineRule="auto"/>
        <w:jc w:val="both"/>
        <w:rPr>
          <w:b/>
        </w:rPr>
      </w:pPr>
      <w:r w:rsidRPr="00136D64">
        <w:rPr>
          <w:b/>
        </w:rPr>
        <w:t xml:space="preserve">→ </w:t>
      </w:r>
      <w:r w:rsidRPr="00356EE9">
        <w:rPr>
          <w:b/>
        </w:rPr>
        <w:t>F</w:t>
      </w:r>
      <w:r>
        <w:rPr>
          <w:b/>
        </w:rPr>
        <w:t xml:space="preserve">abrication d’outils /supports  </w:t>
      </w:r>
    </w:p>
    <w:p w:rsidR="00BD6B05" w:rsidRDefault="00BD6B05" w:rsidP="00BD6B05">
      <w:pPr>
        <w:spacing w:before="120" w:after="0" w:line="240" w:lineRule="auto"/>
        <w:jc w:val="both"/>
        <w:rPr>
          <w:szCs w:val="24"/>
        </w:rPr>
      </w:pPr>
      <w:r w:rsidRPr="00E028B7">
        <w:rPr>
          <w:szCs w:val="24"/>
        </w:rPr>
        <w:t xml:space="preserve">L’utilisation des </w:t>
      </w:r>
      <w:r w:rsidRPr="005E62E0">
        <w:rPr>
          <w:szCs w:val="24"/>
        </w:rPr>
        <w:t>outils nationaux doit être priorisée</w:t>
      </w:r>
      <w:r>
        <w:rPr>
          <w:b/>
          <w:szCs w:val="24"/>
        </w:rPr>
        <w:t xml:space="preserve"> </w:t>
      </w:r>
      <w:r w:rsidRPr="005E62E0">
        <w:rPr>
          <w:szCs w:val="24"/>
        </w:rPr>
        <w:t>mais leur financement est possible s’il n’en existe pas (</w:t>
      </w:r>
      <w:r w:rsidRPr="00E028B7">
        <w:rPr>
          <w:szCs w:val="24"/>
        </w:rPr>
        <w:t>ciblage spécial</w:t>
      </w:r>
      <w:r>
        <w:rPr>
          <w:szCs w:val="24"/>
        </w:rPr>
        <w:t xml:space="preserve"> par exemple) à condition que la diffusion de tels outils soit accompagnée d’actions de proximité</w:t>
      </w:r>
    </w:p>
    <w:p w:rsidR="00BD6B05" w:rsidRPr="00E028B7" w:rsidRDefault="00BD6B05" w:rsidP="00BD6B05">
      <w:pPr>
        <w:spacing w:after="0" w:line="240" w:lineRule="auto"/>
        <w:jc w:val="both"/>
        <w:rPr>
          <w:b/>
          <w:szCs w:val="24"/>
        </w:rPr>
      </w:pPr>
    </w:p>
    <w:p w:rsidR="00BD6B05" w:rsidRDefault="00BD6B05" w:rsidP="00BD6B05">
      <w:pPr>
        <w:spacing w:after="0" w:line="240" w:lineRule="auto"/>
        <w:jc w:val="both"/>
        <w:rPr>
          <w:b/>
        </w:rPr>
      </w:pPr>
      <w:r w:rsidRPr="00136D64">
        <w:rPr>
          <w:b/>
        </w:rPr>
        <w:t>→</w:t>
      </w:r>
      <w:r>
        <w:rPr>
          <w:b/>
        </w:rPr>
        <w:t xml:space="preserve"> Financement de l’évaluation </w:t>
      </w:r>
    </w:p>
    <w:p w:rsidR="00BD6B05" w:rsidRDefault="00BD6B05" w:rsidP="00BD6B05">
      <w:pPr>
        <w:spacing w:before="120" w:after="0" w:line="240" w:lineRule="auto"/>
        <w:jc w:val="both"/>
        <w:rPr>
          <w:szCs w:val="24"/>
        </w:rPr>
      </w:pPr>
      <w:r w:rsidRPr="00E028B7">
        <w:rPr>
          <w:szCs w:val="24"/>
        </w:rPr>
        <w:t xml:space="preserve">Le budget doit être distinct de celui de l’action, </w:t>
      </w:r>
      <w:r>
        <w:rPr>
          <w:szCs w:val="24"/>
        </w:rPr>
        <w:t xml:space="preserve">présenté par poste de dépenses. </w:t>
      </w:r>
      <w:r w:rsidRPr="00E028B7">
        <w:rPr>
          <w:szCs w:val="24"/>
        </w:rPr>
        <w:t>L’évaluation peut être financé</w:t>
      </w:r>
      <w:r>
        <w:rPr>
          <w:szCs w:val="24"/>
        </w:rPr>
        <w:t>e ;</w:t>
      </w:r>
      <w:r w:rsidRPr="00E028B7">
        <w:rPr>
          <w:szCs w:val="24"/>
        </w:rPr>
        <w:t xml:space="preserve"> son coût</w:t>
      </w:r>
      <w:r>
        <w:rPr>
          <w:szCs w:val="24"/>
        </w:rPr>
        <w:t xml:space="preserve"> doit être étudié en fonction de l’importance du projet et</w:t>
      </w:r>
      <w:r w:rsidRPr="00E028B7">
        <w:rPr>
          <w:szCs w:val="24"/>
        </w:rPr>
        <w:t xml:space="preserve"> ne peut, en tout é</w:t>
      </w:r>
      <w:r w:rsidRPr="00B535A1">
        <w:rPr>
          <w:szCs w:val="24"/>
        </w:rPr>
        <w:t xml:space="preserve">tat </w:t>
      </w:r>
      <w:r w:rsidRPr="00E028B7">
        <w:rPr>
          <w:szCs w:val="24"/>
        </w:rPr>
        <w:t xml:space="preserve"> de cause,  excéder 10% du coût global de l’action</w:t>
      </w:r>
      <w:r>
        <w:rPr>
          <w:szCs w:val="24"/>
        </w:rPr>
        <w:t>.</w:t>
      </w:r>
    </w:p>
    <w:p w:rsidR="00BD6B05" w:rsidRPr="00135D01" w:rsidRDefault="00BD6B05" w:rsidP="00BD6B05">
      <w:pPr>
        <w:spacing w:after="0" w:line="240" w:lineRule="auto"/>
        <w:jc w:val="both"/>
        <w:rPr>
          <w:szCs w:val="24"/>
        </w:rPr>
      </w:pPr>
    </w:p>
    <w:p w:rsidR="00BD6B05" w:rsidRDefault="00BD6B05" w:rsidP="00BD6B05">
      <w:pPr>
        <w:pStyle w:val="Style1"/>
        <w:numPr>
          <w:ilvl w:val="0"/>
          <w:numId w:val="28"/>
        </w:numPr>
        <w:spacing w:before="0" w:after="0" w:afterAutospacing="0"/>
        <w:ind w:left="0" w:firstLine="0"/>
        <w:rPr>
          <w:sz w:val="22"/>
          <w:szCs w:val="22"/>
        </w:rPr>
      </w:pPr>
      <w:r w:rsidRPr="000E3B53">
        <w:rPr>
          <w:sz w:val="22"/>
          <w:szCs w:val="22"/>
        </w:rPr>
        <w:t>Ne peuvent pas relever d’un financement </w:t>
      </w:r>
      <w:r>
        <w:rPr>
          <w:sz w:val="22"/>
          <w:szCs w:val="22"/>
        </w:rPr>
        <w:t xml:space="preserve">les postes suivants </w:t>
      </w:r>
      <w:r w:rsidRPr="000E3B53">
        <w:rPr>
          <w:sz w:val="22"/>
          <w:szCs w:val="22"/>
        </w:rPr>
        <w:t>:</w:t>
      </w:r>
    </w:p>
    <w:p w:rsidR="00BD6B05" w:rsidRPr="000E3B53" w:rsidRDefault="00BD6B05" w:rsidP="00BD6B05">
      <w:pPr>
        <w:pStyle w:val="Style1"/>
        <w:spacing w:before="0" w:after="0" w:afterAutospacing="0"/>
        <w:rPr>
          <w:sz w:val="22"/>
          <w:szCs w:val="22"/>
        </w:rPr>
      </w:pPr>
    </w:p>
    <w:p w:rsidR="00BD6B05" w:rsidRPr="00E028B7" w:rsidRDefault="00BD6B05" w:rsidP="00BD6B05">
      <w:pPr>
        <w:spacing w:after="0" w:line="240" w:lineRule="auto"/>
        <w:ind w:left="12" w:hanging="12"/>
        <w:jc w:val="both"/>
        <w:rPr>
          <w:b/>
          <w:color w:val="0070C0"/>
          <w:szCs w:val="24"/>
        </w:rPr>
      </w:pPr>
      <w:r w:rsidRPr="00136D64">
        <w:rPr>
          <w:b/>
        </w:rPr>
        <w:t>→</w:t>
      </w:r>
      <w:r>
        <w:rPr>
          <w:b/>
        </w:rPr>
        <w:t xml:space="preserve"> </w:t>
      </w:r>
      <w:r w:rsidRPr="00B535A1">
        <w:rPr>
          <w:b/>
        </w:rPr>
        <w:t>Frais de structure/de fonctionnement et achat de matériel/investissement</w:t>
      </w:r>
      <w:r>
        <w:rPr>
          <w:b/>
          <w:color w:val="0070C0"/>
          <w:szCs w:val="24"/>
        </w:rPr>
        <w:t> </w:t>
      </w:r>
    </w:p>
    <w:p w:rsidR="00BD6B05" w:rsidRDefault="00BD6B05" w:rsidP="00BD6B05">
      <w:pPr>
        <w:spacing w:before="120" w:after="0" w:line="240" w:lineRule="auto"/>
        <w:jc w:val="both"/>
        <w:rPr>
          <w:szCs w:val="24"/>
        </w:rPr>
      </w:pPr>
      <w:r w:rsidRPr="00E028B7">
        <w:rPr>
          <w:szCs w:val="24"/>
        </w:rPr>
        <w:t xml:space="preserve">Les charges fixes de structure </w:t>
      </w:r>
      <w:r w:rsidRPr="007B6098">
        <w:rPr>
          <w:szCs w:val="24"/>
        </w:rPr>
        <w:t>et de</w:t>
      </w:r>
      <w:r w:rsidRPr="00E028B7">
        <w:rPr>
          <w:szCs w:val="24"/>
        </w:rPr>
        <w:t xml:space="preserve"> fonctionnement</w:t>
      </w:r>
      <w:r>
        <w:rPr>
          <w:szCs w:val="24"/>
        </w:rPr>
        <w:t xml:space="preserve"> </w:t>
      </w:r>
      <w:r w:rsidRPr="00E028B7">
        <w:rPr>
          <w:szCs w:val="24"/>
        </w:rPr>
        <w:t xml:space="preserve">(création de poste pérenne, rémunération de personnel sans lien avec l’action, dotations aux amortissements, taxes et impôts, mises à disposition de locaux, frais généraux…) et l’achat de matériel/investissement (micro-ordinateur, télévision...) </w:t>
      </w:r>
      <w:r>
        <w:rPr>
          <w:szCs w:val="24"/>
        </w:rPr>
        <w:t>ne relèvent pas d’un financement.</w:t>
      </w:r>
    </w:p>
    <w:p w:rsidR="00BD6B05" w:rsidRDefault="00BD6B05" w:rsidP="00BD6B05">
      <w:pPr>
        <w:spacing w:after="0" w:line="240" w:lineRule="auto"/>
        <w:ind w:left="12" w:hanging="12"/>
        <w:jc w:val="both"/>
        <w:rPr>
          <w:szCs w:val="24"/>
        </w:rPr>
      </w:pPr>
    </w:p>
    <w:p w:rsidR="00BD6B05" w:rsidRPr="00086246" w:rsidRDefault="00BD6B05" w:rsidP="00BD6B05">
      <w:pPr>
        <w:spacing w:after="0" w:line="240" w:lineRule="auto"/>
        <w:ind w:left="12" w:hanging="12"/>
        <w:jc w:val="both"/>
        <w:rPr>
          <w:b/>
        </w:rPr>
      </w:pPr>
      <w:r w:rsidRPr="00136D64">
        <w:rPr>
          <w:b/>
        </w:rPr>
        <w:t>→</w:t>
      </w:r>
      <w:r>
        <w:rPr>
          <w:b/>
        </w:rPr>
        <w:t xml:space="preserve"> R</w:t>
      </w:r>
      <w:r w:rsidRPr="00086246">
        <w:rPr>
          <w:b/>
        </w:rPr>
        <w:t xml:space="preserve">émunérations et activités financées dans le cadre d’un dispositif cadré </w:t>
      </w:r>
    </w:p>
    <w:p w:rsidR="00BD6B05" w:rsidRDefault="00BD6B05" w:rsidP="00BD6B05">
      <w:pPr>
        <w:spacing w:before="120" w:after="0" w:line="240" w:lineRule="auto"/>
        <w:jc w:val="both"/>
        <w:rPr>
          <w:szCs w:val="24"/>
        </w:rPr>
      </w:pPr>
      <w:r w:rsidRPr="00086246">
        <w:rPr>
          <w:szCs w:val="24"/>
        </w:rPr>
        <w:t>Ces charges (exemple : personnel ou fonctionnement des structure de gestion des dépistages organisés, bucco-dentaire, sensibilisation du personnel dans les EHPAD, formation de chirurgiens-dentistes pour les personnes handicapées</w:t>
      </w:r>
      <w:r>
        <w:rPr>
          <w:szCs w:val="24"/>
        </w:rPr>
        <w:t xml:space="preserve">…), </w:t>
      </w:r>
      <w:r w:rsidRPr="00086246">
        <w:rPr>
          <w:szCs w:val="24"/>
        </w:rPr>
        <w:t xml:space="preserve">pour lesquelles </w:t>
      </w:r>
      <w:r>
        <w:rPr>
          <w:szCs w:val="24"/>
        </w:rPr>
        <w:t>des financements</w:t>
      </w:r>
      <w:r w:rsidRPr="00086246">
        <w:rPr>
          <w:szCs w:val="24"/>
        </w:rPr>
        <w:t xml:space="preserve"> dédié</w:t>
      </w:r>
      <w:r>
        <w:rPr>
          <w:szCs w:val="24"/>
        </w:rPr>
        <w:t xml:space="preserve">s </w:t>
      </w:r>
      <w:r w:rsidRPr="00086246">
        <w:rPr>
          <w:szCs w:val="24"/>
        </w:rPr>
        <w:t>sont</w:t>
      </w:r>
      <w:r>
        <w:rPr>
          <w:szCs w:val="24"/>
        </w:rPr>
        <w:t xml:space="preserve"> déjà prévus par ailleurs, ne sont</w:t>
      </w:r>
      <w:r w:rsidRPr="00086246">
        <w:rPr>
          <w:szCs w:val="24"/>
        </w:rPr>
        <w:t xml:space="preserve"> pas financés</w:t>
      </w:r>
      <w:r>
        <w:rPr>
          <w:szCs w:val="24"/>
        </w:rPr>
        <w:t>.</w:t>
      </w:r>
    </w:p>
    <w:p w:rsidR="00BD6B05" w:rsidRPr="00E028B7" w:rsidRDefault="00BD6B05" w:rsidP="00BD6B05">
      <w:pPr>
        <w:spacing w:after="0" w:line="240" w:lineRule="auto"/>
        <w:ind w:left="12" w:hanging="12"/>
        <w:jc w:val="both"/>
        <w:rPr>
          <w:szCs w:val="24"/>
        </w:rPr>
      </w:pPr>
    </w:p>
    <w:p w:rsidR="00BD6B05" w:rsidRDefault="00BD6B05" w:rsidP="00BD6B05">
      <w:pPr>
        <w:spacing w:after="0" w:line="240" w:lineRule="auto"/>
        <w:ind w:left="12" w:hanging="12"/>
        <w:jc w:val="both"/>
        <w:rPr>
          <w:b/>
        </w:rPr>
      </w:pPr>
      <w:r w:rsidRPr="00136D64">
        <w:rPr>
          <w:b/>
        </w:rPr>
        <w:t>→</w:t>
      </w:r>
      <w:r>
        <w:rPr>
          <w:b/>
        </w:rPr>
        <w:t xml:space="preserve"> </w:t>
      </w:r>
      <w:r w:rsidRPr="00B535A1">
        <w:rPr>
          <w:b/>
        </w:rPr>
        <w:t>Rémunération de salariés de l’Assurance Maladie ou de structures dédiées (promoteurs ou partenaires du projet)</w:t>
      </w:r>
      <w:r>
        <w:rPr>
          <w:b/>
        </w:rPr>
        <w:t xml:space="preserve"> </w:t>
      </w:r>
    </w:p>
    <w:p w:rsidR="00BD6B05" w:rsidRPr="00C35843" w:rsidRDefault="00BD6B05" w:rsidP="00BD6B05">
      <w:pPr>
        <w:spacing w:before="120" w:after="0" w:line="240" w:lineRule="auto"/>
        <w:ind w:left="11" w:hanging="11"/>
        <w:jc w:val="both"/>
        <w:rPr>
          <w:b/>
        </w:rPr>
      </w:pPr>
      <w:r>
        <w:t>Ces rémunérations sont exclues de financement, ces personnels étant</w:t>
      </w:r>
      <w:r w:rsidRPr="00E028B7">
        <w:rPr>
          <w:b/>
          <w:color w:val="0070C0"/>
          <w:szCs w:val="24"/>
        </w:rPr>
        <w:t> </w:t>
      </w:r>
      <w:r w:rsidRPr="00E028B7">
        <w:rPr>
          <w:szCs w:val="24"/>
        </w:rPr>
        <w:t>déjà rémunérés par leur structure d’origine.</w:t>
      </w:r>
    </w:p>
    <w:p w:rsidR="00BD6B05" w:rsidRPr="00E028B7" w:rsidRDefault="00BD6B05" w:rsidP="00BD6B05">
      <w:pPr>
        <w:spacing w:after="0" w:line="240" w:lineRule="auto"/>
        <w:ind w:left="12" w:hanging="12"/>
        <w:jc w:val="both"/>
        <w:rPr>
          <w:strike/>
          <w:color w:val="FF0000"/>
          <w:szCs w:val="24"/>
        </w:rPr>
      </w:pPr>
    </w:p>
    <w:p w:rsidR="00BD6B05" w:rsidRPr="00C35843" w:rsidRDefault="00BD6B05" w:rsidP="00BD6B05">
      <w:pPr>
        <w:spacing w:after="0" w:line="240" w:lineRule="auto"/>
        <w:ind w:left="12" w:hanging="12"/>
        <w:jc w:val="both"/>
        <w:rPr>
          <w:b/>
          <w:color w:val="0070C0"/>
          <w:szCs w:val="24"/>
        </w:rPr>
      </w:pPr>
      <w:r w:rsidRPr="00136D64">
        <w:rPr>
          <w:b/>
        </w:rPr>
        <w:lastRenderedPageBreak/>
        <w:t>→</w:t>
      </w:r>
      <w:r>
        <w:rPr>
          <w:b/>
        </w:rPr>
        <w:t xml:space="preserve"> </w:t>
      </w:r>
      <w:r w:rsidRPr="00B535A1">
        <w:rPr>
          <w:b/>
          <w:szCs w:val="24"/>
        </w:rPr>
        <w:t xml:space="preserve">Actions </w:t>
      </w:r>
      <w:r>
        <w:rPr>
          <w:b/>
          <w:szCs w:val="24"/>
        </w:rPr>
        <w:t>vers des salariés d’entreprises</w:t>
      </w:r>
      <w:r>
        <w:rPr>
          <w:b/>
          <w:color w:val="0070C0"/>
          <w:szCs w:val="24"/>
        </w:rPr>
        <w:t xml:space="preserve"> : </w:t>
      </w:r>
      <w:r w:rsidRPr="00E028B7">
        <w:rPr>
          <w:szCs w:val="24"/>
        </w:rPr>
        <w:t>Ces actions institutionnelles relèvent des entreprises elles-mêmes</w:t>
      </w:r>
      <w:r>
        <w:rPr>
          <w:szCs w:val="24"/>
        </w:rPr>
        <w:t>.</w:t>
      </w:r>
      <w:r w:rsidRPr="00E028B7">
        <w:rPr>
          <w:szCs w:val="24"/>
        </w:rPr>
        <w:t xml:space="preserve"> </w:t>
      </w:r>
    </w:p>
    <w:p w:rsidR="00BD6B05" w:rsidRPr="00E028B7" w:rsidRDefault="00BD6B05" w:rsidP="00BD6B05">
      <w:pPr>
        <w:spacing w:after="0" w:line="240" w:lineRule="auto"/>
        <w:ind w:left="12" w:hanging="12"/>
        <w:jc w:val="both"/>
        <w:rPr>
          <w:strike/>
          <w:color w:val="FF0000"/>
          <w:szCs w:val="24"/>
        </w:rPr>
      </w:pPr>
    </w:p>
    <w:p w:rsidR="00BD6B05" w:rsidRDefault="00BD6B05" w:rsidP="00BD6B05">
      <w:pPr>
        <w:spacing w:after="0" w:line="240" w:lineRule="auto"/>
        <w:ind w:left="12" w:hanging="12"/>
        <w:jc w:val="both"/>
        <w:rPr>
          <w:szCs w:val="24"/>
        </w:rPr>
      </w:pPr>
      <w:r w:rsidRPr="00136D64">
        <w:rPr>
          <w:b/>
        </w:rPr>
        <w:t>→</w:t>
      </w:r>
      <w:r>
        <w:rPr>
          <w:b/>
        </w:rPr>
        <w:t xml:space="preserve"> </w:t>
      </w:r>
      <w:r>
        <w:rPr>
          <w:b/>
          <w:szCs w:val="24"/>
        </w:rPr>
        <w:t>I</w:t>
      </w:r>
      <w:r w:rsidRPr="009A491B">
        <w:rPr>
          <w:b/>
          <w:szCs w:val="24"/>
        </w:rPr>
        <w:t>nterventions non conformes aux recommandations de la HAS</w:t>
      </w:r>
      <w:r>
        <w:rPr>
          <w:b/>
          <w:szCs w:val="24"/>
        </w:rPr>
        <w:t xml:space="preserve"> : </w:t>
      </w:r>
      <w:r w:rsidRPr="009A491B">
        <w:rPr>
          <w:szCs w:val="24"/>
        </w:rPr>
        <w:t>Les séances de sophrologie, de yoga, de sport, d’hypnose, d’acupunc</w:t>
      </w:r>
      <w:r>
        <w:rPr>
          <w:szCs w:val="24"/>
        </w:rPr>
        <w:t>ture, etc. ne peuvent être financées.</w:t>
      </w:r>
    </w:p>
    <w:p w:rsidR="00BD6B05" w:rsidRPr="00C35843" w:rsidRDefault="00BD6B05" w:rsidP="00BD6B05">
      <w:pPr>
        <w:spacing w:after="0" w:line="240" w:lineRule="auto"/>
        <w:ind w:left="12" w:hanging="12"/>
        <w:jc w:val="both"/>
        <w:rPr>
          <w:b/>
          <w:szCs w:val="24"/>
        </w:rPr>
      </w:pPr>
    </w:p>
    <w:p w:rsidR="00BD6B05" w:rsidRPr="00B535A1" w:rsidRDefault="00BD6B05" w:rsidP="00BD6B05">
      <w:pPr>
        <w:spacing w:after="0" w:line="240" w:lineRule="auto"/>
        <w:ind w:left="12" w:hanging="12"/>
        <w:jc w:val="both"/>
        <w:rPr>
          <w:szCs w:val="24"/>
        </w:rPr>
      </w:pPr>
      <w:r w:rsidRPr="00136D64">
        <w:rPr>
          <w:b/>
        </w:rPr>
        <w:t>→</w:t>
      </w:r>
      <w:r>
        <w:rPr>
          <w:b/>
        </w:rPr>
        <w:t xml:space="preserve"> </w:t>
      </w:r>
      <w:r>
        <w:rPr>
          <w:b/>
          <w:szCs w:val="24"/>
        </w:rPr>
        <w:t>Actions de formation continue </w:t>
      </w:r>
    </w:p>
    <w:p w:rsidR="00BD6B05" w:rsidRDefault="00BD6B05" w:rsidP="00BD6B05">
      <w:pPr>
        <w:spacing w:before="120" w:after="0" w:line="240" w:lineRule="auto"/>
        <w:ind w:left="11" w:hanging="11"/>
        <w:jc w:val="both"/>
        <w:rPr>
          <w:szCs w:val="24"/>
        </w:rPr>
      </w:pPr>
      <w:r>
        <w:rPr>
          <w:szCs w:val="24"/>
        </w:rPr>
        <w:t>Il n’y a pas de possibilité</w:t>
      </w:r>
      <w:r w:rsidRPr="00E028B7">
        <w:rPr>
          <w:szCs w:val="24"/>
        </w:rPr>
        <w:t xml:space="preserve"> de financement </w:t>
      </w:r>
      <w:r>
        <w:rPr>
          <w:szCs w:val="24"/>
        </w:rPr>
        <w:t>pour l</w:t>
      </w:r>
      <w:r w:rsidRPr="00E028B7">
        <w:rPr>
          <w:szCs w:val="24"/>
        </w:rPr>
        <w:t>es formations relevant des crédits de la formation continue.</w:t>
      </w:r>
    </w:p>
    <w:p w:rsidR="00BD6B05" w:rsidRPr="00E028B7" w:rsidRDefault="00BD6B05" w:rsidP="00BD6B05">
      <w:pPr>
        <w:spacing w:after="0" w:line="240" w:lineRule="auto"/>
        <w:ind w:left="12" w:hanging="12"/>
        <w:jc w:val="both"/>
        <w:rPr>
          <w:szCs w:val="24"/>
        </w:rPr>
      </w:pPr>
    </w:p>
    <w:p w:rsidR="00BD6B05" w:rsidRDefault="00BD6B05" w:rsidP="00BD6B05">
      <w:pPr>
        <w:spacing w:after="0" w:line="240" w:lineRule="auto"/>
        <w:ind w:left="12" w:hanging="12"/>
        <w:jc w:val="both"/>
        <w:rPr>
          <w:rFonts w:eastAsia="Times New Roman" w:cs="Calibri"/>
          <w:lang w:eastAsia="fr-FR"/>
        </w:rPr>
      </w:pPr>
      <w:r w:rsidRPr="00136D64">
        <w:rPr>
          <w:b/>
        </w:rPr>
        <w:t>→</w:t>
      </w:r>
      <w:r>
        <w:rPr>
          <w:b/>
        </w:rPr>
        <w:t xml:space="preserve"> </w:t>
      </w:r>
      <w:r w:rsidRPr="00F56BB9">
        <w:rPr>
          <w:rFonts w:eastAsia="Times New Roman" w:cs="Calibri"/>
          <w:b/>
          <w:lang w:eastAsia="fr-FR"/>
        </w:rPr>
        <w:t>Actions de relance (rebond, courriers, SMS</w:t>
      </w:r>
      <w:r>
        <w:rPr>
          <w:rFonts w:eastAsia="Times New Roman" w:cs="Calibri"/>
          <w:b/>
          <w:lang w:eastAsia="fr-FR"/>
        </w:rPr>
        <w:t xml:space="preserve"> </w:t>
      </w:r>
      <w:r w:rsidRPr="00F56BB9">
        <w:rPr>
          <w:rFonts w:eastAsia="Times New Roman" w:cs="Calibri"/>
          <w:b/>
          <w:lang w:eastAsia="fr-FR"/>
        </w:rPr>
        <w:t>…)</w:t>
      </w:r>
      <w:r>
        <w:rPr>
          <w:rFonts w:eastAsia="Times New Roman" w:cs="Calibri"/>
          <w:lang w:eastAsia="fr-FR"/>
        </w:rPr>
        <w:t> </w:t>
      </w:r>
    </w:p>
    <w:p w:rsidR="00BD6B05" w:rsidRDefault="00BD6B05" w:rsidP="00BD6B05">
      <w:pPr>
        <w:spacing w:before="120" w:after="0" w:line="240" w:lineRule="auto"/>
        <w:ind w:left="11" w:hanging="11"/>
        <w:jc w:val="both"/>
        <w:rPr>
          <w:rFonts w:eastAsia="Times New Roman" w:cs="Calibri"/>
          <w:lang w:eastAsia="fr-FR"/>
        </w:rPr>
      </w:pPr>
      <w:r w:rsidRPr="00DC2360">
        <w:rPr>
          <w:rFonts w:eastAsia="Times New Roman" w:cs="Calibri"/>
          <w:lang w:eastAsia="fr-FR"/>
        </w:rPr>
        <w:t>Les actions de relance ne son</w:t>
      </w:r>
      <w:r>
        <w:rPr>
          <w:rFonts w:eastAsia="Times New Roman" w:cs="Calibri"/>
          <w:lang w:eastAsia="fr-FR"/>
        </w:rPr>
        <w:t>t plus financées sur le FNPEIS, elles s</w:t>
      </w:r>
      <w:r w:rsidRPr="00DC2360">
        <w:rPr>
          <w:rFonts w:eastAsia="Times New Roman" w:cs="Calibri"/>
          <w:lang w:eastAsia="fr-FR"/>
        </w:rPr>
        <w:t xml:space="preserve">ont prises en charge dans le cadre de l’outil </w:t>
      </w:r>
      <w:r>
        <w:rPr>
          <w:rFonts w:eastAsia="Times New Roman" w:cs="Calibri"/>
          <w:lang w:eastAsia="fr-FR"/>
        </w:rPr>
        <w:t>de gestion des campagnes de l’Assurance Maladie « </w:t>
      </w:r>
      <w:r w:rsidRPr="00DC2360">
        <w:rPr>
          <w:rFonts w:eastAsia="Times New Roman" w:cs="Calibri"/>
          <w:lang w:eastAsia="fr-FR"/>
        </w:rPr>
        <w:t>OSMOSE</w:t>
      </w:r>
      <w:r>
        <w:rPr>
          <w:rFonts w:eastAsia="Times New Roman" w:cs="Calibri"/>
          <w:lang w:eastAsia="fr-FR"/>
        </w:rPr>
        <w:t> ».</w:t>
      </w:r>
      <w:r w:rsidRPr="00DC2360">
        <w:rPr>
          <w:rFonts w:eastAsia="Times New Roman" w:cs="Calibri"/>
          <w:lang w:eastAsia="fr-FR"/>
        </w:rPr>
        <w:t xml:space="preserve"> </w:t>
      </w:r>
    </w:p>
    <w:p w:rsidR="00BD6B05" w:rsidRPr="00DC2360" w:rsidRDefault="00BD6B05" w:rsidP="00BD6B05">
      <w:pPr>
        <w:spacing w:after="0" w:line="240" w:lineRule="auto"/>
        <w:ind w:left="12" w:hanging="12"/>
        <w:jc w:val="both"/>
        <w:rPr>
          <w:rFonts w:eastAsia="Times New Roman" w:cs="Calibri"/>
          <w:lang w:eastAsia="fr-FR"/>
        </w:rPr>
      </w:pPr>
    </w:p>
    <w:p w:rsidR="00BD6B05" w:rsidRDefault="00BD6B05" w:rsidP="00BD6B05">
      <w:pPr>
        <w:spacing w:after="0" w:line="240" w:lineRule="auto"/>
        <w:ind w:left="12" w:hanging="12"/>
        <w:jc w:val="both"/>
        <w:rPr>
          <w:rFonts w:eastAsia="Times New Roman" w:cs="Calibri"/>
          <w:lang w:eastAsia="fr-FR"/>
        </w:rPr>
      </w:pPr>
      <w:r w:rsidRPr="00136D64">
        <w:rPr>
          <w:b/>
        </w:rPr>
        <w:t>→</w:t>
      </w:r>
      <w:r>
        <w:rPr>
          <w:b/>
        </w:rPr>
        <w:t xml:space="preserve"> </w:t>
      </w:r>
      <w:r w:rsidRPr="00F56BB9">
        <w:rPr>
          <w:rFonts w:eastAsia="Times New Roman" w:cs="Calibri"/>
          <w:b/>
          <w:lang w:eastAsia="fr-FR"/>
        </w:rPr>
        <w:t>Gadgets et outils promotionnels</w:t>
      </w:r>
      <w:r w:rsidRPr="00DC2360">
        <w:rPr>
          <w:rFonts w:eastAsia="Times New Roman" w:cs="Calibri"/>
          <w:lang w:eastAsia="fr-FR"/>
        </w:rPr>
        <w:t xml:space="preserve"> </w:t>
      </w:r>
    </w:p>
    <w:p w:rsidR="00BD6B05" w:rsidRPr="00DC2360" w:rsidRDefault="00BD6B05" w:rsidP="00BD6B05">
      <w:pPr>
        <w:spacing w:before="120" w:after="0" w:line="240" w:lineRule="auto"/>
        <w:ind w:left="11" w:hanging="11"/>
        <w:jc w:val="both"/>
        <w:rPr>
          <w:rFonts w:eastAsia="Times New Roman" w:cs="Calibri"/>
          <w:lang w:eastAsia="fr-FR"/>
        </w:rPr>
      </w:pPr>
      <w:r w:rsidRPr="009A491B">
        <w:rPr>
          <w:rFonts w:eastAsia="Times New Roman" w:cs="Calibri"/>
          <w:lang w:eastAsia="fr-FR"/>
        </w:rPr>
        <w:t>Les « goodies »</w:t>
      </w:r>
      <w:r>
        <w:rPr>
          <w:b/>
        </w:rPr>
        <w:t xml:space="preserve"> (</w:t>
      </w:r>
      <w:r w:rsidRPr="00DC2360">
        <w:rPr>
          <w:rFonts w:eastAsia="Times New Roman" w:cs="Calibri"/>
          <w:lang w:eastAsia="fr-FR"/>
        </w:rPr>
        <w:t>sets de table, stylos, casques à vélo, chèques cadeau, lots concours…)</w:t>
      </w:r>
      <w:r>
        <w:rPr>
          <w:rFonts w:eastAsia="Times New Roman" w:cs="Calibri"/>
          <w:lang w:eastAsia="fr-FR"/>
        </w:rPr>
        <w:t xml:space="preserve"> ne</w:t>
      </w:r>
      <w:r w:rsidRPr="00DC2360">
        <w:rPr>
          <w:rFonts w:eastAsia="Times New Roman" w:cs="Calibri"/>
          <w:lang w:eastAsia="fr-FR"/>
        </w:rPr>
        <w:t xml:space="preserve">  </w:t>
      </w:r>
      <w:r>
        <w:rPr>
          <w:rFonts w:eastAsia="Times New Roman" w:cs="Calibri"/>
          <w:lang w:eastAsia="fr-FR"/>
        </w:rPr>
        <w:t>peuvent faire l’objet d’un financement.</w:t>
      </w:r>
    </w:p>
    <w:p w:rsidR="00BD6B05" w:rsidRPr="00DC2360" w:rsidRDefault="00BD6B05" w:rsidP="00BD6B05">
      <w:pPr>
        <w:spacing w:after="0" w:line="240" w:lineRule="auto"/>
        <w:ind w:left="12" w:hanging="12"/>
        <w:jc w:val="both"/>
        <w:rPr>
          <w:rFonts w:eastAsia="Times New Roman" w:cs="Calibri"/>
          <w:lang w:eastAsia="fr-FR"/>
        </w:rPr>
      </w:pPr>
    </w:p>
    <w:p w:rsidR="00BD6B05" w:rsidRDefault="00BD6B05" w:rsidP="00BD6B05">
      <w:pPr>
        <w:spacing w:after="0" w:line="240" w:lineRule="auto"/>
        <w:ind w:left="12" w:hanging="12"/>
        <w:jc w:val="both"/>
        <w:rPr>
          <w:szCs w:val="24"/>
        </w:rPr>
      </w:pPr>
      <w:r w:rsidRPr="00136D64">
        <w:rPr>
          <w:b/>
        </w:rPr>
        <w:t>→</w:t>
      </w:r>
      <w:r>
        <w:rPr>
          <w:b/>
        </w:rPr>
        <w:t xml:space="preserve"> </w:t>
      </w:r>
      <w:r w:rsidRPr="00F56BB9">
        <w:rPr>
          <w:b/>
          <w:szCs w:val="24"/>
        </w:rPr>
        <w:t>Frais liés aux moments de convivialité</w:t>
      </w:r>
      <w:r w:rsidRPr="00E028B7">
        <w:rPr>
          <w:szCs w:val="24"/>
        </w:rPr>
        <w:t xml:space="preserve"> </w:t>
      </w:r>
    </w:p>
    <w:p w:rsidR="00BD6B05" w:rsidRPr="00E028B7" w:rsidRDefault="00BD6B05" w:rsidP="00BD6B05">
      <w:pPr>
        <w:spacing w:before="120" w:after="0" w:line="240" w:lineRule="auto"/>
        <w:ind w:left="11" w:hanging="11"/>
        <w:jc w:val="both"/>
        <w:rPr>
          <w:szCs w:val="24"/>
        </w:rPr>
      </w:pPr>
      <w:r>
        <w:rPr>
          <w:szCs w:val="24"/>
        </w:rPr>
        <w:t xml:space="preserve">Les </w:t>
      </w:r>
      <w:r w:rsidRPr="00E028B7">
        <w:rPr>
          <w:szCs w:val="24"/>
        </w:rPr>
        <w:t>frais de « bouche »</w:t>
      </w:r>
      <w:r>
        <w:rPr>
          <w:szCs w:val="24"/>
        </w:rPr>
        <w:t xml:space="preserve"> tels les </w:t>
      </w:r>
      <w:r w:rsidRPr="00E028B7">
        <w:rPr>
          <w:szCs w:val="24"/>
        </w:rPr>
        <w:t>petit</w:t>
      </w:r>
      <w:r>
        <w:rPr>
          <w:szCs w:val="24"/>
        </w:rPr>
        <w:t>s</w:t>
      </w:r>
      <w:r w:rsidRPr="00E028B7">
        <w:rPr>
          <w:szCs w:val="24"/>
        </w:rPr>
        <w:t>-déjeuner</w:t>
      </w:r>
      <w:r>
        <w:rPr>
          <w:szCs w:val="24"/>
        </w:rPr>
        <w:t>s</w:t>
      </w:r>
      <w:r w:rsidRPr="00E028B7">
        <w:rPr>
          <w:szCs w:val="24"/>
        </w:rPr>
        <w:t>, déjeuners et autres</w:t>
      </w:r>
      <w:r>
        <w:rPr>
          <w:szCs w:val="24"/>
        </w:rPr>
        <w:t xml:space="preserve"> ne sont pas financés.</w:t>
      </w:r>
      <w:r w:rsidRPr="00E028B7">
        <w:rPr>
          <w:szCs w:val="24"/>
        </w:rPr>
        <w:t xml:space="preserve"> </w:t>
      </w:r>
    </w:p>
    <w:p w:rsidR="00BD6B05" w:rsidRDefault="00BD6B05" w:rsidP="00BD6B05">
      <w:pPr>
        <w:spacing w:after="0" w:line="240" w:lineRule="auto"/>
        <w:ind w:left="12" w:hanging="12"/>
      </w:pPr>
    </w:p>
    <w:p w:rsidR="00BD6B05" w:rsidRDefault="00BD6B05" w:rsidP="00BD6B05">
      <w:pPr>
        <w:spacing w:after="0" w:line="240" w:lineRule="auto"/>
        <w:ind w:left="12" w:hanging="12"/>
      </w:pPr>
    </w:p>
    <w:p w:rsidR="00BD6B05" w:rsidRDefault="00BD6B05" w:rsidP="00BD6B05">
      <w:pPr>
        <w:spacing w:after="0" w:line="240" w:lineRule="auto"/>
      </w:pPr>
    </w:p>
    <w:p w:rsidR="00785EFC" w:rsidRPr="00785EFC" w:rsidRDefault="00785EFC" w:rsidP="00806020">
      <w:pPr>
        <w:pStyle w:val="Default"/>
        <w:spacing w:line="264" w:lineRule="auto"/>
        <w:jc w:val="both"/>
      </w:pPr>
    </w:p>
    <w:p w:rsidR="008F063A" w:rsidRDefault="008F063A" w:rsidP="00806020">
      <w:pPr>
        <w:pStyle w:val="Default"/>
        <w:spacing w:line="264" w:lineRule="auto"/>
        <w:jc w:val="both"/>
      </w:pPr>
    </w:p>
    <w:p w:rsidR="008F063A" w:rsidRDefault="008F063A" w:rsidP="00806020">
      <w:pPr>
        <w:pStyle w:val="Default"/>
        <w:spacing w:line="264" w:lineRule="auto"/>
        <w:jc w:val="both"/>
      </w:pPr>
    </w:p>
    <w:p w:rsidR="008F063A" w:rsidRDefault="008F063A"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7C6715" w:rsidRDefault="007C6715" w:rsidP="00806020">
      <w:pPr>
        <w:pStyle w:val="Default"/>
        <w:spacing w:line="264" w:lineRule="auto"/>
        <w:jc w:val="both"/>
      </w:pPr>
    </w:p>
    <w:p w:rsidR="001D1DE6" w:rsidRDefault="001D1DE6">
      <w:pPr>
        <w:spacing w:after="0" w:line="240" w:lineRule="auto"/>
        <w:rPr>
          <w:rFonts w:cs="Calibri"/>
          <w:color w:val="000000"/>
          <w:sz w:val="24"/>
          <w:szCs w:val="24"/>
          <w:lang w:eastAsia="fr-FR"/>
        </w:rPr>
      </w:pPr>
      <w:r>
        <w:br w:type="page"/>
      </w:r>
    </w:p>
    <w:p w:rsidR="007C6715" w:rsidRPr="00BF2CB3" w:rsidRDefault="007C6715" w:rsidP="00806020">
      <w:pPr>
        <w:pStyle w:val="Default"/>
        <w:spacing w:line="264" w:lineRule="auto"/>
        <w:jc w:val="both"/>
      </w:pPr>
    </w:p>
    <w:p w:rsidR="00E22B77" w:rsidRDefault="00742752" w:rsidP="00E22B77">
      <w:pPr>
        <w:rPr>
          <w:u w:val="single"/>
        </w:rPr>
      </w:pPr>
      <w:r>
        <w:rPr>
          <w:noProof/>
          <w:u w:val="single"/>
          <w:lang w:eastAsia="fr-FR"/>
        </w:rPr>
        <mc:AlternateContent>
          <mc:Choice Requires="wps">
            <w:drawing>
              <wp:anchor distT="0" distB="0" distL="114300" distR="114300" simplePos="0" relativeHeight="251658240" behindDoc="0" locked="0" layoutInCell="1" allowOverlap="1">
                <wp:simplePos x="0" y="0"/>
                <wp:positionH relativeFrom="column">
                  <wp:posOffset>173355</wp:posOffset>
                </wp:positionH>
                <wp:positionV relativeFrom="paragraph">
                  <wp:posOffset>85090</wp:posOffset>
                </wp:positionV>
                <wp:extent cx="5369560" cy="561340"/>
                <wp:effectExtent l="40005" t="37465" r="38735" b="393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561340"/>
                        </a:xfrm>
                        <a:prstGeom prst="rect">
                          <a:avLst/>
                        </a:prstGeom>
                        <a:solidFill>
                          <a:srgbClr val="FFFFFF"/>
                        </a:solidFill>
                        <a:ln w="63500" cmpd="thickThin" algn="ctr">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B77" w:rsidRPr="0039422C" w:rsidRDefault="00DD09C7" w:rsidP="00DD09C7">
                            <w:pPr>
                              <w:spacing w:after="0" w:line="240" w:lineRule="auto"/>
                              <w:ind w:left="1134" w:hanging="1134"/>
                              <w:rPr>
                                <w:rFonts w:cs="Calibri"/>
                                <w:sz w:val="24"/>
                                <w:szCs w:val="24"/>
                                <w:lang w:eastAsia="fr-FR"/>
                              </w:rPr>
                            </w:pPr>
                            <w:r w:rsidRPr="00DD09C7">
                              <w:rPr>
                                <w:rFonts w:cs="Calibri"/>
                                <w:sz w:val="24"/>
                                <w:szCs w:val="24"/>
                                <w:lang w:eastAsia="fr-FR"/>
                              </w:rPr>
                              <w:t>Annexe 1 :</w:t>
                            </w:r>
                            <w:r>
                              <w:rPr>
                                <w:rFonts w:cs="Calibri"/>
                                <w:sz w:val="24"/>
                                <w:szCs w:val="24"/>
                                <w:u w:val="single"/>
                                <w:lang w:eastAsia="fr-FR"/>
                              </w:rPr>
                              <w:t xml:space="preserve"> </w:t>
                            </w:r>
                            <w:r w:rsidR="00F10349">
                              <w:rPr>
                                <w:rFonts w:cs="Calibri"/>
                                <w:sz w:val="24"/>
                                <w:szCs w:val="24"/>
                                <w:u w:val="single"/>
                                <w:lang w:eastAsia="fr-FR"/>
                              </w:rPr>
                              <w:t xml:space="preserve">Mission </w:t>
                            </w:r>
                            <w:r w:rsidR="00E22B77" w:rsidRPr="0039422C">
                              <w:rPr>
                                <w:rFonts w:cs="Calibri"/>
                                <w:sz w:val="24"/>
                                <w:szCs w:val="24"/>
                                <w:u w:val="single"/>
                                <w:lang w:eastAsia="fr-FR"/>
                              </w:rPr>
                              <w:t xml:space="preserve">des </w:t>
                            </w:r>
                            <w:r w:rsidR="00FA420C">
                              <w:rPr>
                                <w:rFonts w:cs="Calibri"/>
                                <w:sz w:val="24"/>
                                <w:szCs w:val="24"/>
                                <w:u w:val="single"/>
                                <w:lang w:eastAsia="fr-FR"/>
                              </w:rPr>
                              <w:t>c</w:t>
                            </w:r>
                            <w:r w:rsidR="00FA420C" w:rsidRPr="0039422C">
                              <w:rPr>
                                <w:rFonts w:cs="Calibri"/>
                                <w:sz w:val="24"/>
                                <w:szCs w:val="24"/>
                                <w:u w:val="single"/>
                                <w:lang w:eastAsia="fr-FR"/>
                              </w:rPr>
                              <w:t xml:space="preserve">entres </w:t>
                            </w:r>
                            <w:r w:rsidR="00E22B77" w:rsidRPr="0039422C">
                              <w:rPr>
                                <w:rFonts w:cs="Calibri"/>
                                <w:sz w:val="24"/>
                                <w:szCs w:val="24"/>
                                <w:u w:val="single"/>
                                <w:lang w:eastAsia="fr-FR"/>
                              </w:rPr>
                              <w:t xml:space="preserve">régionaux de coordination des dépistages des cancers </w:t>
                            </w:r>
                            <w:r w:rsidR="00E22B77" w:rsidRPr="0039422C">
                              <w:rPr>
                                <w:rFonts w:cs="Calibri"/>
                                <w:sz w:val="24"/>
                                <w:szCs w:val="24"/>
                                <w:lang w:eastAsia="fr-FR"/>
                              </w:rPr>
                              <w:t>:</w:t>
                            </w:r>
                            <w:r w:rsidR="007D136E" w:rsidRPr="0039422C">
                              <w:rPr>
                                <w:rFonts w:cs="Calibri"/>
                                <w:sz w:val="24"/>
                                <w:szCs w:val="24"/>
                                <w:u w:val="single"/>
                                <w:lang w:eastAsia="fr-FR"/>
                              </w:rPr>
                              <w:t xml:space="preserve"> </w:t>
                            </w:r>
                          </w:p>
                          <w:p w:rsidR="00E22B77" w:rsidRPr="0039422C" w:rsidRDefault="00E22B77" w:rsidP="0039422C">
                            <w:pPr>
                              <w:spacing w:after="0" w:line="240" w:lineRule="auto"/>
                              <w:ind w:left="1134"/>
                              <w:rPr>
                                <w:rFonts w:cs="Calibri"/>
                                <w:sz w:val="24"/>
                                <w:szCs w:val="24"/>
                                <w:lang w:eastAsia="fr-FR"/>
                              </w:rPr>
                            </w:pPr>
                            <w:r w:rsidRPr="0039422C">
                              <w:rPr>
                                <w:rFonts w:cs="Calibri"/>
                                <w:sz w:val="24"/>
                                <w:szCs w:val="24"/>
                                <w:lang w:eastAsia="fr-FR"/>
                              </w:rPr>
                              <w:t xml:space="preserve">                      </w:t>
                            </w:r>
                            <w:r w:rsidR="007D136E" w:rsidRPr="0039422C">
                              <w:rPr>
                                <w:rFonts w:cs="Calibri"/>
                                <w:sz w:val="24"/>
                                <w:szCs w:val="24"/>
                                <w:lang w:eastAsia="fr-FR"/>
                              </w:rPr>
                              <w:t xml:space="preserve">             </w:t>
                            </w:r>
                            <w:r w:rsidRPr="0039422C">
                              <w:rPr>
                                <w:rFonts w:cs="Calibri"/>
                                <w:sz w:val="24"/>
                                <w:szCs w:val="24"/>
                                <w:u w:val="single"/>
                                <w:lang w:eastAsia="fr-FR"/>
                              </w:rPr>
                              <w:t>Arrêté du 23</w:t>
                            </w:r>
                            <w:r w:rsidRPr="0039422C">
                              <w:rPr>
                                <w:rFonts w:cs="Calibri"/>
                                <w:color w:val="1F497D"/>
                                <w:sz w:val="24"/>
                                <w:szCs w:val="24"/>
                                <w:u w:val="single"/>
                                <w:lang w:eastAsia="fr-FR"/>
                              </w:rPr>
                              <w:t xml:space="preserve"> </w:t>
                            </w:r>
                            <w:r w:rsidRPr="0039422C">
                              <w:rPr>
                                <w:rFonts w:cs="Calibri"/>
                                <w:sz w:val="24"/>
                                <w:szCs w:val="24"/>
                                <w:u w:val="single"/>
                                <w:lang w:eastAsia="fr-FR"/>
                              </w:rPr>
                              <w:t>mars 2018</w:t>
                            </w:r>
                            <w:r w:rsidRPr="0039422C">
                              <w:rPr>
                                <w:rFonts w:cs="Calibri"/>
                                <w:sz w:val="24"/>
                                <w:szCs w:val="24"/>
                                <w:lang w:eastAsia="fr-FR"/>
                              </w:rPr>
                              <w:t>.</w:t>
                            </w:r>
                          </w:p>
                          <w:p w:rsidR="00E22B77" w:rsidRDefault="00E22B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65pt;margin-top:6.7pt;width:422.8pt;height:4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" strokecolor="#8064a2" strokeweight="5pt">
                <v:stroke linestyle="thickThin"/>
                <v:shadow color="#868686"/>
                <v:textbox>
                  <w:txbxContent>
                    <w:p w:rsidR="00E22B77" w:rsidRPr="0039422C" w:rsidRDefault="00DD09C7" w:rsidP="00DD09C7">
                      <w:pPr>
                        <w:spacing w:after="0" w:line="240" w:lineRule="auto"/>
                        <w:ind w:left="1134" w:hanging="1134"/>
                        <w:rPr>
                          <w:rFonts w:cs="Calibri"/>
                          <w:sz w:val="24"/>
                          <w:szCs w:val="24"/>
                          <w:lang w:eastAsia="fr-FR"/>
                        </w:rPr>
                      </w:pPr>
                      <w:r w:rsidRPr="00DD09C7">
                        <w:rPr>
                          <w:rFonts w:cs="Calibri"/>
                          <w:sz w:val="24"/>
                          <w:szCs w:val="24"/>
                          <w:lang w:eastAsia="fr-FR"/>
                        </w:rPr>
                        <w:t>Annexe 1 :</w:t>
                      </w:r>
                      <w:r>
                        <w:rPr>
                          <w:rFonts w:cs="Calibri"/>
                          <w:sz w:val="24"/>
                          <w:szCs w:val="24"/>
                          <w:u w:val="single"/>
                          <w:lang w:eastAsia="fr-FR"/>
                        </w:rPr>
                        <w:t xml:space="preserve"> </w:t>
                      </w:r>
                      <w:r w:rsidR="00F10349">
                        <w:rPr>
                          <w:rFonts w:cs="Calibri"/>
                          <w:sz w:val="24"/>
                          <w:szCs w:val="24"/>
                          <w:u w:val="single"/>
                          <w:lang w:eastAsia="fr-FR"/>
                        </w:rPr>
                        <w:t xml:space="preserve">Mission </w:t>
                      </w:r>
                      <w:r w:rsidR="00E22B77" w:rsidRPr="0039422C">
                        <w:rPr>
                          <w:rFonts w:cs="Calibri"/>
                          <w:sz w:val="24"/>
                          <w:szCs w:val="24"/>
                          <w:u w:val="single"/>
                          <w:lang w:eastAsia="fr-FR"/>
                        </w:rPr>
                        <w:t xml:space="preserve">des </w:t>
                      </w:r>
                      <w:r w:rsidR="00FA420C">
                        <w:rPr>
                          <w:rFonts w:cs="Calibri"/>
                          <w:sz w:val="24"/>
                          <w:szCs w:val="24"/>
                          <w:u w:val="single"/>
                          <w:lang w:eastAsia="fr-FR"/>
                        </w:rPr>
                        <w:t>c</w:t>
                      </w:r>
                      <w:r w:rsidR="00FA420C" w:rsidRPr="0039422C">
                        <w:rPr>
                          <w:rFonts w:cs="Calibri"/>
                          <w:sz w:val="24"/>
                          <w:szCs w:val="24"/>
                          <w:u w:val="single"/>
                          <w:lang w:eastAsia="fr-FR"/>
                        </w:rPr>
                        <w:t xml:space="preserve">entres </w:t>
                      </w:r>
                      <w:r w:rsidR="00E22B77" w:rsidRPr="0039422C">
                        <w:rPr>
                          <w:rFonts w:cs="Calibri"/>
                          <w:sz w:val="24"/>
                          <w:szCs w:val="24"/>
                          <w:u w:val="single"/>
                          <w:lang w:eastAsia="fr-FR"/>
                        </w:rPr>
                        <w:t xml:space="preserve">régionaux de coordination des dépistages des cancers </w:t>
                      </w:r>
                      <w:r w:rsidR="00E22B77" w:rsidRPr="0039422C">
                        <w:rPr>
                          <w:rFonts w:cs="Calibri"/>
                          <w:sz w:val="24"/>
                          <w:szCs w:val="24"/>
                          <w:lang w:eastAsia="fr-FR"/>
                        </w:rPr>
                        <w:t>:</w:t>
                      </w:r>
                      <w:r w:rsidR="007D136E" w:rsidRPr="0039422C">
                        <w:rPr>
                          <w:rFonts w:cs="Calibri"/>
                          <w:sz w:val="24"/>
                          <w:szCs w:val="24"/>
                          <w:u w:val="single"/>
                          <w:lang w:eastAsia="fr-FR"/>
                        </w:rPr>
                        <w:t xml:space="preserve"> </w:t>
                      </w:r>
                    </w:p>
                    <w:p w:rsidR="00E22B77" w:rsidRPr="0039422C" w:rsidRDefault="00E22B77" w:rsidP="0039422C">
                      <w:pPr>
                        <w:spacing w:after="0" w:line="240" w:lineRule="auto"/>
                        <w:ind w:left="1134"/>
                        <w:rPr>
                          <w:rFonts w:cs="Calibri"/>
                          <w:sz w:val="24"/>
                          <w:szCs w:val="24"/>
                          <w:lang w:eastAsia="fr-FR"/>
                        </w:rPr>
                      </w:pPr>
                      <w:r w:rsidRPr="0039422C">
                        <w:rPr>
                          <w:rFonts w:cs="Calibri"/>
                          <w:sz w:val="24"/>
                          <w:szCs w:val="24"/>
                          <w:lang w:eastAsia="fr-FR"/>
                        </w:rPr>
                        <w:t xml:space="preserve">                      </w:t>
                      </w:r>
                      <w:r w:rsidR="007D136E" w:rsidRPr="0039422C">
                        <w:rPr>
                          <w:rFonts w:cs="Calibri"/>
                          <w:sz w:val="24"/>
                          <w:szCs w:val="24"/>
                          <w:lang w:eastAsia="fr-FR"/>
                        </w:rPr>
                        <w:t xml:space="preserve">             </w:t>
                      </w:r>
                      <w:r w:rsidRPr="0039422C">
                        <w:rPr>
                          <w:rFonts w:cs="Calibri"/>
                          <w:sz w:val="24"/>
                          <w:szCs w:val="24"/>
                          <w:u w:val="single"/>
                          <w:lang w:eastAsia="fr-FR"/>
                        </w:rPr>
                        <w:t>Arrêté du 23</w:t>
                      </w:r>
                      <w:r w:rsidRPr="0039422C">
                        <w:rPr>
                          <w:rFonts w:cs="Calibri"/>
                          <w:color w:val="1F497D"/>
                          <w:sz w:val="24"/>
                          <w:szCs w:val="24"/>
                          <w:u w:val="single"/>
                          <w:lang w:eastAsia="fr-FR"/>
                        </w:rPr>
                        <w:t xml:space="preserve"> </w:t>
                      </w:r>
                      <w:r w:rsidRPr="0039422C">
                        <w:rPr>
                          <w:rFonts w:cs="Calibri"/>
                          <w:sz w:val="24"/>
                          <w:szCs w:val="24"/>
                          <w:u w:val="single"/>
                          <w:lang w:eastAsia="fr-FR"/>
                        </w:rPr>
                        <w:t>mars 2018</w:t>
                      </w:r>
                      <w:r w:rsidRPr="0039422C">
                        <w:rPr>
                          <w:rFonts w:cs="Calibri"/>
                          <w:sz w:val="24"/>
                          <w:szCs w:val="24"/>
                          <w:lang w:eastAsia="fr-FR"/>
                        </w:rPr>
                        <w:t>.</w:t>
                      </w:r>
                    </w:p>
                    <w:p w:rsidR="00E22B77" w:rsidRDefault="00E22B77"/>
                  </w:txbxContent>
                </v:textbox>
              </v:rect>
            </w:pict>
          </mc:Fallback>
        </mc:AlternateContent>
      </w:r>
    </w:p>
    <w:p w:rsidR="00E22B77" w:rsidRDefault="00E22B77" w:rsidP="00E22B77">
      <w:pPr>
        <w:rPr>
          <w:u w:val="single"/>
        </w:rPr>
      </w:pPr>
    </w:p>
    <w:p w:rsidR="00E22B77" w:rsidRPr="00F9586C" w:rsidRDefault="00E22B77" w:rsidP="00F10349">
      <w:pPr>
        <w:spacing w:after="0" w:line="240" w:lineRule="auto"/>
        <w:rPr>
          <w:u w:val="single"/>
        </w:rPr>
      </w:pPr>
    </w:p>
    <w:p w:rsidR="00BA4E90" w:rsidRDefault="002868F0" w:rsidP="007E5F60">
      <w:pPr>
        <w:pStyle w:val="NormalWeb"/>
        <w:numPr>
          <w:ilvl w:val="1"/>
          <w:numId w:val="7"/>
        </w:numPr>
        <w:spacing w:after="0" w:line="240" w:lineRule="auto"/>
        <w:ind w:left="426" w:hanging="306"/>
        <w:rPr>
          <w:rFonts w:ascii="Calibri" w:hAnsi="Calibri"/>
        </w:rPr>
      </w:pPr>
      <w:r w:rsidRPr="00F9586C">
        <w:rPr>
          <w:rFonts w:ascii="Calibri" w:hAnsi="Calibri"/>
        </w:rPr>
        <w:t>les relations avec la populat</w:t>
      </w:r>
      <w:r w:rsidR="00BA4E90" w:rsidRPr="00F9586C">
        <w:rPr>
          <w:rFonts w:ascii="Calibri" w:hAnsi="Calibri"/>
        </w:rPr>
        <w:t>ion (information, communication sensibilisation,</w:t>
      </w:r>
      <w:r w:rsidRPr="00F9586C">
        <w:rPr>
          <w:rFonts w:ascii="Calibri" w:hAnsi="Calibri"/>
        </w:rPr>
        <w:t xml:space="preserve"> actions de</w:t>
      </w:r>
      <w:r w:rsidR="00BA4E90" w:rsidRPr="00F9586C">
        <w:rPr>
          <w:rFonts w:ascii="Calibri" w:hAnsi="Calibri"/>
        </w:rPr>
        <w:t xml:space="preserve"> lutte contre les inégalités) </w:t>
      </w:r>
    </w:p>
    <w:p w:rsidR="00BD6B05" w:rsidRPr="00F9586C" w:rsidRDefault="00BD6B05" w:rsidP="00BD6B05">
      <w:pPr>
        <w:pStyle w:val="NormalWeb"/>
        <w:spacing w:after="0" w:line="240" w:lineRule="auto"/>
        <w:ind w:left="426"/>
        <w:rPr>
          <w:rFonts w:ascii="Calibri" w:hAnsi="Calibri"/>
        </w:rPr>
      </w:pPr>
    </w:p>
    <w:p w:rsidR="00E22B77" w:rsidRPr="00F9586C" w:rsidRDefault="00BA4E90" w:rsidP="007E5F60">
      <w:pPr>
        <w:pStyle w:val="NormalWeb"/>
        <w:numPr>
          <w:ilvl w:val="1"/>
          <w:numId w:val="7"/>
        </w:numPr>
        <w:spacing w:after="0" w:line="240" w:lineRule="auto"/>
        <w:ind w:left="426" w:hanging="284"/>
        <w:rPr>
          <w:rFonts w:ascii="Calibri" w:eastAsia="Times New Roman" w:hAnsi="Calibri"/>
          <w:lang w:eastAsia="fr-FR"/>
        </w:rPr>
      </w:pPr>
      <w:r w:rsidRPr="00F9586C">
        <w:rPr>
          <w:rFonts w:ascii="Calibri" w:eastAsia="Times New Roman" w:hAnsi="Calibri"/>
          <w:lang w:eastAsia="fr-FR"/>
        </w:rPr>
        <w:t>coordination des actions me</w:t>
      </w:r>
      <w:r w:rsidR="00E22B77" w:rsidRPr="00F9586C">
        <w:rPr>
          <w:rFonts w:ascii="Calibri" w:eastAsia="Times New Roman" w:hAnsi="Calibri"/>
          <w:lang w:eastAsia="fr-FR"/>
        </w:rPr>
        <w:t>nées par les sites territoriaux :</w:t>
      </w:r>
    </w:p>
    <w:p w:rsidR="00BA4E90" w:rsidRDefault="00F10349" w:rsidP="007E5F60">
      <w:pPr>
        <w:pStyle w:val="NormalWeb"/>
        <w:spacing w:after="0" w:line="240" w:lineRule="auto"/>
        <w:ind w:left="426"/>
        <w:rPr>
          <w:rFonts w:ascii="Calibri" w:hAnsi="Calibri"/>
          <w:b/>
        </w:rPr>
      </w:pPr>
      <w:r w:rsidRPr="00F9586C">
        <w:rPr>
          <w:rFonts w:ascii="Calibri" w:eastAsia="Times New Roman" w:hAnsi="Calibri"/>
          <w:b/>
          <w:lang w:eastAsia="fr-FR"/>
        </w:rPr>
        <w:t>-</w:t>
      </w:r>
      <w:r w:rsidR="00E22B77" w:rsidRPr="00F9586C">
        <w:rPr>
          <w:rFonts w:ascii="Calibri" w:eastAsia="Times New Roman" w:hAnsi="Calibri"/>
          <w:b/>
          <w:lang w:eastAsia="fr-FR"/>
        </w:rPr>
        <w:t xml:space="preserve"> I</w:t>
      </w:r>
      <w:r w:rsidR="00E22B77" w:rsidRPr="00F9586C">
        <w:rPr>
          <w:rFonts w:ascii="Calibri" w:hAnsi="Calibri"/>
          <w:b/>
        </w:rPr>
        <w:t>nformation, sensibilisation ;</w:t>
      </w:r>
      <w:r w:rsidR="00E22B77" w:rsidRPr="00F9586C">
        <w:rPr>
          <w:rFonts w:ascii="Calibri" w:hAnsi="Calibri"/>
          <w:b/>
        </w:rPr>
        <w:br/>
        <w:t>-</w:t>
      </w:r>
      <w:r w:rsidRPr="00F9586C">
        <w:rPr>
          <w:rFonts w:ascii="Calibri" w:hAnsi="Calibri"/>
          <w:b/>
        </w:rPr>
        <w:t xml:space="preserve"> A</w:t>
      </w:r>
      <w:r w:rsidR="00E22B77" w:rsidRPr="00F9586C">
        <w:rPr>
          <w:rFonts w:ascii="Calibri" w:hAnsi="Calibri"/>
          <w:b/>
        </w:rPr>
        <w:t>ctions de lutte contre les inégalités ;</w:t>
      </w:r>
      <w:r w:rsidR="00E22B77" w:rsidRPr="00F9586C">
        <w:rPr>
          <w:rFonts w:ascii="Calibri" w:hAnsi="Calibri"/>
          <w:b/>
        </w:rPr>
        <w:br/>
        <w:t>-</w:t>
      </w:r>
      <w:r w:rsidRPr="00F9586C">
        <w:rPr>
          <w:rFonts w:ascii="Calibri" w:hAnsi="Calibri"/>
          <w:b/>
        </w:rPr>
        <w:t xml:space="preserve"> I</w:t>
      </w:r>
      <w:r w:rsidR="00E22B77" w:rsidRPr="00F9586C">
        <w:rPr>
          <w:rFonts w:ascii="Calibri" w:hAnsi="Calibri"/>
          <w:b/>
        </w:rPr>
        <w:t>nformation sur la prévention des cancers.</w:t>
      </w:r>
    </w:p>
    <w:p w:rsidR="00BD6B05" w:rsidRPr="00F9586C" w:rsidRDefault="00BD6B05" w:rsidP="007E5F60">
      <w:pPr>
        <w:pStyle w:val="NormalWeb"/>
        <w:spacing w:after="0" w:line="240" w:lineRule="auto"/>
        <w:ind w:left="426"/>
        <w:rPr>
          <w:rFonts w:ascii="Calibri" w:hAnsi="Calibri"/>
          <w:b/>
        </w:rPr>
      </w:pPr>
    </w:p>
    <w:p w:rsidR="00F10349" w:rsidRPr="00F9586C" w:rsidRDefault="009147DC" w:rsidP="007E5F60">
      <w:pPr>
        <w:pStyle w:val="NormalWeb"/>
        <w:numPr>
          <w:ilvl w:val="0"/>
          <w:numId w:val="8"/>
        </w:numPr>
        <w:tabs>
          <w:tab w:val="left" w:pos="993"/>
          <w:tab w:val="left" w:pos="1276"/>
        </w:tabs>
        <w:spacing w:after="0" w:line="240" w:lineRule="auto"/>
        <w:ind w:left="426" w:hanging="425"/>
        <w:jc w:val="both"/>
        <w:rPr>
          <w:rFonts w:ascii="Calibri" w:hAnsi="Calibri"/>
          <w:b/>
        </w:rPr>
      </w:pPr>
      <w:r w:rsidRPr="00F9586C">
        <w:rPr>
          <w:rFonts w:ascii="Calibri" w:hAnsi="Calibri"/>
        </w:rPr>
        <w:t xml:space="preserve">Le centre régional de coordination des dépistages des cancers participe, en conformité avec la communication nationale, et en l'adaptant au contexte local si nécessaire, à la sensibilisation de la population concernée à la démarche de dépistage. </w:t>
      </w:r>
    </w:p>
    <w:p w:rsidR="00CF3F6C" w:rsidRPr="00F9586C" w:rsidRDefault="009147DC" w:rsidP="007E5F60">
      <w:pPr>
        <w:pStyle w:val="NormalWeb"/>
        <w:tabs>
          <w:tab w:val="left" w:pos="993"/>
          <w:tab w:val="left" w:pos="1276"/>
        </w:tabs>
        <w:spacing w:after="0" w:line="240" w:lineRule="auto"/>
        <w:ind w:left="426"/>
        <w:jc w:val="both"/>
        <w:rPr>
          <w:rFonts w:ascii="Calibri" w:hAnsi="Calibri"/>
        </w:rPr>
      </w:pPr>
      <w:r w:rsidRPr="00F9586C">
        <w:rPr>
          <w:rFonts w:ascii="Calibri" w:hAnsi="Calibri"/>
        </w:rPr>
        <w:t>Il contribue, en conformité avec la communication nationale et en l'adaptant au contexte local si nécessaire, à délivrer une information loyale, claire et appropriée sur les programmes de dépistage organisé permettant une décision libre et éclairée des personnes sur le choix de participer ou non (enjeux, stratégies de dépistage en fonction des niveaux de risques, intervalles de dépistage, bénéfices, limites et risques, parcours de dépistage, prise en charge, données épidémiologiques, et le cas échéant sur les stratégies de prévention et de détection précoce</w:t>
      </w:r>
      <w:r w:rsidR="00D13D28" w:rsidRPr="00F9586C">
        <w:rPr>
          <w:rFonts w:ascii="Calibri" w:hAnsi="Calibri"/>
        </w:rPr>
        <w:t xml:space="preserve"> recommandées.</w:t>
      </w:r>
    </w:p>
    <w:p w:rsidR="009147DC" w:rsidRDefault="009147DC" w:rsidP="007E5F60">
      <w:pPr>
        <w:pStyle w:val="NormalWeb"/>
        <w:tabs>
          <w:tab w:val="left" w:pos="993"/>
          <w:tab w:val="left" w:pos="1276"/>
        </w:tabs>
        <w:spacing w:after="0" w:line="240" w:lineRule="auto"/>
        <w:ind w:left="426"/>
        <w:jc w:val="both"/>
        <w:rPr>
          <w:rFonts w:ascii="Calibri" w:hAnsi="Calibri"/>
        </w:rPr>
      </w:pPr>
      <w:r w:rsidRPr="00F9586C">
        <w:rPr>
          <w:rFonts w:ascii="Calibri" w:hAnsi="Calibri"/>
        </w:rPr>
        <w:t>Il participe, en lien avec les partenaires et acteurs locaux, notamment les médecins traitants, à l'information sur la prévention des risques et le dépistage des cancers, dans une approche intégrée de parcours de santé.</w:t>
      </w:r>
    </w:p>
    <w:p w:rsidR="00BD6B05" w:rsidRPr="00F9586C" w:rsidRDefault="00BD6B05" w:rsidP="007E5F60">
      <w:pPr>
        <w:pStyle w:val="NormalWeb"/>
        <w:tabs>
          <w:tab w:val="left" w:pos="993"/>
          <w:tab w:val="left" w:pos="1276"/>
        </w:tabs>
        <w:spacing w:after="0" w:line="240" w:lineRule="auto"/>
        <w:ind w:left="426"/>
        <w:jc w:val="both"/>
        <w:rPr>
          <w:rFonts w:ascii="Calibri" w:hAnsi="Calibri"/>
          <w:b/>
        </w:rPr>
      </w:pPr>
    </w:p>
    <w:p w:rsidR="006600C0" w:rsidRPr="00F9586C" w:rsidRDefault="00170FF3" w:rsidP="00FA420C">
      <w:pPr>
        <w:pStyle w:val="NormalWeb"/>
        <w:numPr>
          <w:ilvl w:val="0"/>
          <w:numId w:val="8"/>
        </w:numPr>
        <w:tabs>
          <w:tab w:val="left" w:pos="1276"/>
        </w:tabs>
        <w:spacing w:after="0" w:line="240" w:lineRule="auto"/>
        <w:ind w:left="426" w:hanging="425"/>
        <w:jc w:val="both"/>
        <w:rPr>
          <w:rFonts w:ascii="Calibri" w:hAnsi="Calibri" w:cs="Calibri"/>
          <w:sz w:val="22"/>
          <w:szCs w:val="22"/>
          <w:lang w:eastAsia="fr-FR"/>
        </w:rPr>
      </w:pPr>
      <w:r w:rsidRPr="00F9586C">
        <w:rPr>
          <w:rFonts w:ascii="Calibri" w:hAnsi="Calibri"/>
        </w:rPr>
        <w:t xml:space="preserve">Les supports et messages d'information et de communication mis à la disposition de la population sont élaborés par l'Institut national du cancer. Toute modification ou adaptation locale doit se faire avec l'accord formel de l'Institut national du cancer. Le message véhiculé par les actions de communication locales doit être homogène, sans ambiguïté, et conforme à la </w:t>
      </w:r>
      <w:hyperlink r:id="rId9" w:history="1">
        <w:r w:rsidRPr="00F9586C">
          <w:rPr>
            <w:rStyle w:val="Lienhypertexte"/>
            <w:rFonts w:ascii="Calibri" w:hAnsi="Calibri"/>
            <w:color w:val="auto"/>
          </w:rPr>
          <w:t xml:space="preserve">loi n° 2002-303 du 4 mars 2002 </w:t>
        </w:r>
      </w:hyperlink>
      <w:r w:rsidRPr="00F9586C">
        <w:rPr>
          <w:rFonts w:ascii="Calibri" w:hAnsi="Calibri"/>
        </w:rPr>
        <w:t>relative aux droits des malades et à la qualité du système de santé. L'information fournie doit être précise et aisée d'accès pour tous et aborder les enjeux du dépistage, les bénéfices attendus, ainsi que les limites et les éventuels effets délétères. Elle doit s'appuyer sur des données scientifiques, y compris celles relatives aux inconvénients potentiels des dépistages.</w:t>
      </w:r>
    </w:p>
    <w:p w:rsidR="00DD09C7" w:rsidRPr="00F9586C" w:rsidRDefault="00DD09C7" w:rsidP="004E6A74">
      <w:pPr>
        <w:pStyle w:val="NormalWeb"/>
        <w:tabs>
          <w:tab w:val="left" w:pos="1276"/>
        </w:tabs>
        <w:spacing w:after="0" w:line="240" w:lineRule="auto"/>
        <w:ind w:left="426"/>
        <w:jc w:val="both"/>
        <w:rPr>
          <w:rFonts w:ascii="Calibri" w:hAnsi="Calibri" w:cs="Calibri"/>
          <w:sz w:val="22"/>
          <w:szCs w:val="22"/>
          <w:lang w:eastAsia="fr-FR"/>
        </w:rPr>
      </w:pPr>
    </w:p>
    <w:p w:rsidR="006F1FA8" w:rsidRPr="004E6A74" w:rsidRDefault="00AA4E30" w:rsidP="004E6A74">
      <w:pPr>
        <w:pStyle w:val="NormalWeb"/>
        <w:numPr>
          <w:ilvl w:val="0"/>
          <w:numId w:val="11"/>
        </w:numPr>
        <w:tabs>
          <w:tab w:val="left" w:pos="1276"/>
        </w:tabs>
        <w:ind w:left="426" w:hanging="785"/>
        <w:jc w:val="both"/>
        <w:rPr>
          <w:rFonts w:ascii="Calibri" w:hAnsi="Calibri" w:cs="Calibri"/>
          <w:b/>
          <w:i/>
          <w:color w:val="000000"/>
          <w:sz w:val="22"/>
          <w:szCs w:val="22"/>
          <w:lang w:eastAsia="fr-FR"/>
        </w:rPr>
      </w:pPr>
      <w:r w:rsidRPr="004E6A74">
        <w:rPr>
          <w:rFonts w:ascii="Calibri" w:hAnsi="Calibri"/>
          <w:color w:val="000000"/>
        </w:rPr>
        <w:t xml:space="preserve">Enfin, des actions spécifiques (accompagnement au dépistage, médiation  sanitaire, </w:t>
      </w:r>
      <w:r w:rsidRPr="00125823">
        <w:rPr>
          <w:rFonts w:ascii="Calibri" w:hAnsi="Calibri"/>
          <w:b/>
          <w:color w:val="000000"/>
        </w:rPr>
        <w:t>unités mobiles</w:t>
      </w:r>
      <w:r w:rsidRPr="004E6A74">
        <w:rPr>
          <w:rFonts w:ascii="Calibri" w:hAnsi="Calibri"/>
          <w:color w:val="000000"/>
        </w:rPr>
        <w:t>, etc.) en direction de populations vulnérables et/ ou très éloignées du système de santé peuvent être mises en place par les associations intervenant auprès de ces publics, en partenariat avec les structures en charge de la ges</w:t>
      </w:r>
      <w:r w:rsidR="009D2AAF" w:rsidRPr="004E6A74">
        <w:rPr>
          <w:rFonts w:ascii="Calibri" w:hAnsi="Calibri"/>
          <w:color w:val="000000"/>
        </w:rPr>
        <w:t xml:space="preserve">tion des dépistages des </w:t>
      </w:r>
      <w:r w:rsidR="00D556D3" w:rsidRPr="004E6A74">
        <w:rPr>
          <w:rFonts w:ascii="Calibri" w:hAnsi="Calibri"/>
          <w:color w:val="000000"/>
        </w:rPr>
        <w:t>cancers (</w:t>
      </w:r>
      <w:r w:rsidR="00D556D3" w:rsidRPr="004E6A74">
        <w:rPr>
          <w:rStyle w:val="lev"/>
          <w:rFonts w:ascii="Calibri" w:hAnsi="Calibri"/>
          <w:b w:val="0"/>
          <w:i/>
          <w:color w:val="000000"/>
        </w:rPr>
        <w:t>Arrêté du 4 mai 2018 relatif à l'organisation du dépistage organisé du cancer du col de l'utérus)</w:t>
      </w:r>
    </w:p>
    <w:p w:rsidR="00EB3379" w:rsidRPr="00EB3379" w:rsidRDefault="00EB3379" w:rsidP="00FA420C">
      <w:pPr>
        <w:tabs>
          <w:tab w:val="left" w:pos="7363"/>
        </w:tabs>
        <w:autoSpaceDE w:val="0"/>
        <w:autoSpaceDN w:val="0"/>
        <w:adjustRightInd w:val="0"/>
        <w:spacing w:after="0" w:line="264" w:lineRule="auto"/>
        <w:ind w:left="426"/>
        <w:jc w:val="both"/>
        <w:rPr>
          <w:rFonts w:eastAsia="Times New Roman" w:cs="Calibri"/>
          <w:lang w:eastAsia="fr-FR"/>
        </w:rPr>
      </w:pPr>
    </w:p>
    <w:sectPr w:rsidR="00EB3379" w:rsidRPr="00EB3379" w:rsidSect="003C6C3A">
      <w:headerReference w:type="default" r:id="rId10"/>
      <w:footerReference w:type="default" r:id="rId11"/>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D6" w:rsidRDefault="00A33DD6" w:rsidP="00BC58DB">
      <w:pPr>
        <w:spacing w:after="0" w:line="240" w:lineRule="auto"/>
      </w:pPr>
      <w:r>
        <w:separator/>
      </w:r>
    </w:p>
  </w:endnote>
  <w:endnote w:type="continuationSeparator" w:id="0">
    <w:p w:rsidR="00A33DD6" w:rsidRDefault="00A33DD6"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EE1" w:rsidRDefault="004B3EE1">
    <w:pPr>
      <w:pStyle w:val="Pieddepage"/>
      <w:jc w:val="right"/>
    </w:pPr>
    <w:r>
      <w:fldChar w:fldCharType="begin"/>
    </w:r>
    <w:r>
      <w:instrText>PAGE   \* MERGEFORMAT</w:instrText>
    </w:r>
    <w:r>
      <w:fldChar w:fldCharType="separate"/>
    </w:r>
    <w:r w:rsidR="00515B42">
      <w:rPr>
        <w:noProof/>
      </w:rPr>
      <w:t>2</w:t>
    </w:r>
    <w:r>
      <w:fldChar w:fldCharType="end"/>
    </w:r>
  </w:p>
  <w:p w:rsidR="00A83AD8" w:rsidRDefault="00A83A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D6" w:rsidRDefault="00A33DD6" w:rsidP="00BC58DB">
      <w:pPr>
        <w:spacing w:after="0" w:line="240" w:lineRule="auto"/>
      </w:pPr>
      <w:r>
        <w:separator/>
      </w:r>
    </w:p>
  </w:footnote>
  <w:footnote w:type="continuationSeparator" w:id="0">
    <w:p w:rsidR="00A33DD6" w:rsidRDefault="00A33DD6" w:rsidP="00BC5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23" w:rsidRDefault="004D1223">
    <w:pPr>
      <w:pStyle w:val="En-tte"/>
    </w:pPr>
    <w:r>
      <w:tab/>
    </w:r>
    <w:r>
      <w:tab/>
      <w:t>Annexe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2D"/>
    <w:multiLevelType w:val="hybridMultilevel"/>
    <w:tmpl w:val="B080C95A"/>
    <w:lvl w:ilvl="0" w:tplc="468619F8">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0767F"/>
    <w:multiLevelType w:val="hybridMultilevel"/>
    <w:tmpl w:val="7AA22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E80646B"/>
    <w:multiLevelType w:val="hybridMultilevel"/>
    <w:tmpl w:val="529EEAEC"/>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5D6B5D"/>
    <w:multiLevelType w:val="hybridMultilevel"/>
    <w:tmpl w:val="A8A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451ED"/>
    <w:multiLevelType w:val="hybridMultilevel"/>
    <w:tmpl w:val="65E2E8C4"/>
    <w:lvl w:ilvl="0" w:tplc="040C0003">
      <w:start w:val="1"/>
      <w:numFmt w:val="bullet"/>
      <w:lvlText w:val="o"/>
      <w:lvlJc w:val="left"/>
      <w:pPr>
        <w:ind w:left="720" w:hanging="360"/>
      </w:pPr>
      <w:rPr>
        <w:rFonts w:ascii="Courier New" w:hAnsi="Courier New" w:cs="Courier New" w:hint="default"/>
        <w:color w:val="000000"/>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C04D71"/>
    <w:multiLevelType w:val="hybridMultilevel"/>
    <w:tmpl w:val="54DAB2E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2CDC20A1"/>
    <w:multiLevelType w:val="hybridMultilevel"/>
    <w:tmpl w:val="D7F8E49A"/>
    <w:lvl w:ilvl="0" w:tplc="E37EE44E">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C34253"/>
    <w:multiLevelType w:val="hybridMultilevel"/>
    <w:tmpl w:val="5DF4C536"/>
    <w:lvl w:ilvl="0" w:tplc="A710BFAE">
      <w:start w:val="1"/>
      <w:numFmt w:val="bullet"/>
      <w:lvlText w:val="→"/>
      <w:lvlJc w:val="left"/>
      <w:pPr>
        <w:ind w:left="2280" w:hanging="360"/>
      </w:pPr>
      <w:rPr>
        <w:rFonts w:ascii="Calibri" w:hAnsi="Calibri" w:hint="default"/>
        <w:color w:val="000000"/>
        <w:sz w:val="24"/>
        <w:szCs w:val="24"/>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0" w15:restartNumberingAfterBreak="0">
    <w:nsid w:val="37697614"/>
    <w:multiLevelType w:val="hybridMultilevel"/>
    <w:tmpl w:val="6E96D956"/>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7D75F5"/>
    <w:multiLevelType w:val="hybridMultilevel"/>
    <w:tmpl w:val="5CFCCA30"/>
    <w:lvl w:ilvl="0" w:tplc="040C000B">
      <w:start w:val="1"/>
      <w:numFmt w:val="bullet"/>
      <w:lvlText w:val=""/>
      <w:lvlJc w:val="left"/>
      <w:pPr>
        <w:ind w:left="360" w:hanging="360"/>
      </w:pPr>
      <w:rPr>
        <w:rFonts w:ascii="Wingdings" w:hAnsi="Wingdings" w:hint="default"/>
        <w:color w:val="auto"/>
        <w:sz w:val="24"/>
        <w:szCs w:val="24"/>
        <w:u w:color="1F497D"/>
      </w:rPr>
    </w:lvl>
    <w:lvl w:ilvl="1" w:tplc="0A4A1636">
      <w:numFmt w:val="bullet"/>
      <w:lvlText w:val="-"/>
      <w:lvlJc w:val="left"/>
      <w:pPr>
        <w:ind w:left="1506" w:hanging="360"/>
      </w:pPr>
      <w:rPr>
        <w:rFonts w:ascii="Calibri" w:eastAsia="Calibri" w:hAnsi="Calibri" w:cs="Times New Roman" w:hint="default"/>
        <w:b/>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4967330B"/>
    <w:multiLevelType w:val="hybridMultilevel"/>
    <w:tmpl w:val="28A00EC6"/>
    <w:lvl w:ilvl="0" w:tplc="D03C2A5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684E01"/>
    <w:multiLevelType w:val="hybridMultilevel"/>
    <w:tmpl w:val="5B72B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4F2F40"/>
    <w:multiLevelType w:val="hybridMultilevel"/>
    <w:tmpl w:val="ACA831DA"/>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9358E4"/>
    <w:multiLevelType w:val="hybridMultilevel"/>
    <w:tmpl w:val="92CAE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992A10"/>
    <w:multiLevelType w:val="hybridMultilevel"/>
    <w:tmpl w:val="CEC4C456"/>
    <w:lvl w:ilvl="0" w:tplc="E37EE44E">
      <w:start w:val="1"/>
      <w:numFmt w:val="bullet"/>
      <w:lvlText w:val=""/>
      <w:lvlJc w:val="left"/>
      <w:pPr>
        <w:ind w:left="720" w:hanging="360"/>
      </w:pPr>
      <w:rPr>
        <w:rFonts w:ascii="Symbol" w:hAnsi="Symbol" w:hint="default"/>
        <w:b/>
        <w:color w:val="auto"/>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CB2A90"/>
    <w:multiLevelType w:val="hybridMultilevel"/>
    <w:tmpl w:val="D7A42DD4"/>
    <w:lvl w:ilvl="0" w:tplc="A710BFAE">
      <w:start w:val="1"/>
      <w:numFmt w:val="bullet"/>
      <w:lvlText w:val="→"/>
      <w:lvlJc w:val="left"/>
      <w:pPr>
        <w:ind w:left="1212" w:hanging="360"/>
      </w:pPr>
      <w:rPr>
        <w:rFonts w:ascii="Calibri" w:hAnsi="Calibri" w:hint="default"/>
        <w:color w:val="000000"/>
        <w:sz w:val="24"/>
        <w:szCs w:val="24"/>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15:restartNumberingAfterBreak="0">
    <w:nsid w:val="53A40C0F"/>
    <w:multiLevelType w:val="hybridMultilevel"/>
    <w:tmpl w:val="D0388EB8"/>
    <w:lvl w:ilvl="0" w:tplc="C6D42C3A">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55834E27"/>
    <w:multiLevelType w:val="hybridMultilevel"/>
    <w:tmpl w:val="C9125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F65D5"/>
    <w:multiLevelType w:val="hybridMultilevel"/>
    <w:tmpl w:val="805E2EEE"/>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5AB51E10"/>
    <w:multiLevelType w:val="hybridMultilevel"/>
    <w:tmpl w:val="CE26235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674BA6"/>
    <w:multiLevelType w:val="hybridMultilevel"/>
    <w:tmpl w:val="C2306692"/>
    <w:lvl w:ilvl="0" w:tplc="A710BFAE">
      <w:start w:val="1"/>
      <w:numFmt w:val="bullet"/>
      <w:lvlText w:val="→"/>
      <w:lvlJc w:val="left"/>
      <w:pPr>
        <w:ind w:left="1800" w:hanging="360"/>
      </w:pPr>
      <w:rPr>
        <w:rFonts w:ascii="Calibri" w:hAnsi="Calibri" w:hint="default"/>
        <w:color w:val="000000"/>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5E01183A"/>
    <w:multiLevelType w:val="hybridMultilevel"/>
    <w:tmpl w:val="D5942F48"/>
    <w:lvl w:ilvl="0" w:tplc="A710BFAE">
      <w:start w:val="1"/>
      <w:numFmt w:val="bullet"/>
      <w:lvlText w:val="→"/>
      <w:lvlJc w:val="left"/>
      <w:pPr>
        <w:ind w:left="720" w:hanging="360"/>
      </w:pPr>
      <w:rPr>
        <w:rFonts w:ascii="Calibri" w:hAnsi="Calibri" w:hint="default"/>
        <w:color w:val="000000"/>
        <w:sz w:val="24"/>
        <w:szCs w:val="24"/>
      </w:rPr>
    </w:lvl>
    <w:lvl w:ilvl="1" w:tplc="A710BFAE">
      <w:start w:val="1"/>
      <w:numFmt w:val="bullet"/>
      <w:lvlText w:val="→"/>
      <w:lvlJc w:val="left"/>
      <w:pPr>
        <w:ind w:left="1440" w:hanging="360"/>
      </w:pPr>
      <w:rPr>
        <w:rFonts w:ascii="Calibri" w:hAnsi="Calibri" w:hint="default"/>
        <w:color w:val="00000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0089E"/>
    <w:multiLevelType w:val="hybridMultilevel"/>
    <w:tmpl w:val="DDA470F0"/>
    <w:lvl w:ilvl="0" w:tplc="4BBE2334">
      <w:start w:val="1"/>
      <w:numFmt w:val="upperRoman"/>
      <w:lvlText w:val="%1-"/>
      <w:lvlJc w:val="left"/>
      <w:pPr>
        <w:ind w:left="1080" w:hanging="720"/>
      </w:pPr>
      <w:rPr>
        <w:rFonts w:eastAsia="Calibri" w:hint="default"/>
        <w:color w:val="0000F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4C2E34"/>
    <w:multiLevelType w:val="hybridMultilevel"/>
    <w:tmpl w:val="8C0899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9A34D1C"/>
    <w:multiLevelType w:val="hybridMultilevel"/>
    <w:tmpl w:val="D5FA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4B2C7F"/>
    <w:multiLevelType w:val="hybridMultilevel"/>
    <w:tmpl w:val="792CEFB0"/>
    <w:lvl w:ilvl="0" w:tplc="E37EE44E">
      <w:start w:val="1"/>
      <w:numFmt w:val="bullet"/>
      <w:lvlText w:val=""/>
      <w:lvlJc w:val="left"/>
      <w:pPr>
        <w:ind w:left="720" w:hanging="360"/>
      </w:pPr>
      <w:rPr>
        <w:rFonts w:ascii="Symbol" w:hAnsi="Symbol" w:hint="default"/>
        <w:b/>
        <w:color w:val="auto"/>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605EDD"/>
    <w:multiLevelType w:val="hybridMultilevel"/>
    <w:tmpl w:val="27D8E298"/>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11"/>
  </w:num>
  <w:num w:numId="5">
    <w:abstractNumId w:val="20"/>
  </w:num>
  <w:num w:numId="6">
    <w:abstractNumId w:val="22"/>
  </w:num>
  <w:num w:numId="7">
    <w:abstractNumId w:val="23"/>
  </w:num>
  <w:num w:numId="8">
    <w:abstractNumId w:val="17"/>
  </w:num>
  <w:num w:numId="9">
    <w:abstractNumId w:val="7"/>
  </w:num>
  <w:num w:numId="10">
    <w:abstractNumId w:val="28"/>
  </w:num>
  <w:num w:numId="11">
    <w:abstractNumId w:val="9"/>
  </w:num>
  <w:num w:numId="12">
    <w:abstractNumId w:val="27"/>
  </w:num>
  <w:num w:numId="13">
    <w:abstractNumId w:val="16"/>
  </w:num>
  <w:num w:numId="14">
    <w:abstractNumId w:val="8"/>
  </w:num>
  <w:num w:numId="15">
    <w:abstractNumId w:val="26"/>
  </w:num>
  <w:num w:numId="16">
    <w:abstractNumId w:val="24"/>
  </w:num>
  <w:num w:numId="17">
    <w:abstractNumId w:val="19"/>
  </w:num>
  <w:num w:numId="18">
    <w:abstractNumId w:val="1"/>
  </w:num>
  <w:num w:numId="19">
    <w:abstractNumId w:val="14"/>
  </w:num>
  <w:num w:numId="20">
    <w:abstractNumId w:val="10"/>
  </w:num>
  <w:num w:numId="21">
    <w:abstractNumId w:val="3"/>
  </w:num>
  <w:num w:numId="22">
    <w:abstractNumId w:val="13"/>
  </w:num>
  <w:num w:numId="23">
    <w:abstractNumId w:val="18"/>
  </w:num>
  <w:num w:numId="24">
    <w:abstractNumId w:val="15"/>
  </w:num>
  <w:num w:numId="25">
    <w:abstractNumId w:val="5"/>
  </w:num>
  <w:num w:numId="26">
    <w:abstractNumId w:val="25"/>
  </w:num>
  <w:num w:numId="27">
    <w:abstractNumId w:val="0"/>
  </w:num>
  <w:num w:numId="28">
    <w:abstractNumId w:val="4"/>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16834"/>
    <w:rsid w:val="00020E38"/>
    <w:rsid w:val="00021941"/>
    <w:rsid w:val="00022AB4"/>
    <w:rsid w:val="000314BF"/>
    <w:rsid w:val="00031FAA"/>
    <w:rsid w:val="0004064F"/>
    <w:rsid w:val="0004359F"/>
    <w:rsid w:val="000466A7"/>
    <w:rsid w:val="00057C07"/>
    <w:rsid w:val="000635ED"/>
    <w:rsid w:val="0006580B"/>
    <w:rsid w:val="0006653F"/>
    <w:rsid w:val="000679AA"/>
    <w:rsid w:val="00073255"/>
    <w:rsid w:val="00073AA2"/>
    <w:rsid w:val="00082931"/>
    <w:rsid w:val="00082FD1"/>
    <w:rsid w:val="00087075"/>
    <w:rsid w:val="000876F0"/>
    <w:rsid w:val="00091FC7"/>
    <w:rsid w:val="00094BBA"/>
    <w:rsid w:val="0009526F"/>
    <w:rsid w:val="000972FB"/>
    <w:rsid w:val="000A24DE"/>
    <w:rsid w:val="000A3791"/>
    <w:rsid w:val="000A4228"/>
    <w:rsid w:val="000B2566"/>
    <w:rsid w:val="000D73DD"/>
    <w:rsid w:val="000E1F39"/>
    <w:rsid w:val="000E49E7"/>
    <w:rsid w:val="000E5889"/>
    <w:rsid w:val="000E7E58"/>
    <w:rsid w:val="000F1884"/>
    <w:rsid w:val="000F4059"/>
    <w:rsid w:val="000F50C8"/>
    <w:rsid w:val="0010268A"/>
    <w:rsid w:val="001110FC"/>
    <w:rsid w:val="00114A72"/>
    <w:rsid w:val="0011733C"/>
    <w:rsid w:val="00120FCD"/>
    <w:rsid w:val="00122BFE"/>
    <w:rsid w:val="00125823"/>
    <w:rsid w:val="00141A28"/>
    <w:rsid w:val="00144355"/>
    <w:rsid w:val="00147901"/>
    <w:rsid w:val="00153623"/>
    <w:rsid w:val="00153D20"/>
    <w:rsid w:val="0015609B"/>
    <w:rsid w:val="001645D1"/>
    <w:rsid w:val="001664DC"/>
    <w:rsid w:val="00170FF3"/>
    <w:rsid w:val="00180B4D"/>
    <w:rsid w:val="001850B5"/>
    <w:rsid w:val="00187EAF"/>
    <w:rsid w:val="00190B8A"/>
    <w:rsid w:val="001923AD"/>
    <w:rsid w:val="001A1D37"/>
    <w:rsid w:val="001A2F9C"/>
    <w:rsid w:val="001A3B69"/>
    <w:rsid w:val="001A71C7"/>
    <w:rsid w:val="001B53E7"/>
    <w:rsid w:val="001B661E"/>
    <w:rsid w:val="001C4A60"/>
    <w:rsid w:val="001D1DE6"/>
    <w:rsid w:val="001D26F2"/>
    <w:rsid w:val="001E4CC6"/>
    <w:rsid w:val="001E61C4"/>
    <w:rsid w:val="001F4143"/>
    <w:rsid w:val="001F566C"/>
    <w:rsid w:val="001F5913"/>
    <w:rsid w:val="001F7A0E"/>
    <w:rsid w:val="0020202B"/>
    <w:rsid w:val="0020257A"/>
    <w:rsid w:val="00205AC6"/>
    <w:rsid w:val="0022454D"/>
    <w:rsid w:val="00232EFD"/>
    <w:rsid w:val="00234A82"/>
    <w:rsid w:val="00255FC2"/>
    <w:rsid w:val="00257CF9"/>
    <w:rsid w:val="00282B69"/>
    <w:rsid w:val="00284C71"/>
    <w:rsid w:val="002868F0"/>
    <w:rsid w:val="00290DBC"/>
    <w:rsid w:val="00292F87"/>
    <w:rsid w:val="0029368D"/>
    <w:rsid w:val="00293EF6"/>
    <w:rsid w:val="00295E0D"/>
    <w:rsid w:val="00296573"/>
    <w:rsid w:val="002A0462"/>
    <w:rsid w:val="002A5D94"/>
    <w:rsid w:val="002A6646"/>
    <w:rsid w:val="002B4B88"/>
    <w:rsid w:val="002B796B"/>
    <w:rsid w:val="002E510D"/>
    <w:rsid w:val="002F184E"/>
    <w:rsid w:val="002F3615"/>
    <w:rsid w:val="002F3F1C"/>
    <w:rsid w:val="002F4552"/>
    <w:rsid w:val="002F76CE"/>
    <w:rsid w:val="00303ABD"/>
    <w:rsid w:val="00303F36"/>
    <w:rsid w:val="00311EA1"/>
    <w:rsid w:val="00315C5B"/>
    <w:rsid w:val="003177FB"/>
    <w:rsid w:val="00320E58"/>
    <w:rsid w:val="00347CB7"/>
    <w:rsid w:val="00364CD5"/>
    <w:rsid w:val="00365759"/>
    <w:rsid w:val="00366638"/>
    <w:rsid w:val="00366CD5"/>
    <w:rsid w:val="0037402F"/>
    <w:rsid w:val="00374B0C"/>
    <w:rsid w:val="003806C2"/>
    <w:rsid w:val="00385597"/>
    <w:rsid w:val="003865FE"/>
    <w:rsid w:val="00386A3B"/>
    <w:rsid w:val="0039422C"/>
    <w:rsid w:val="003A166E"/>
    <w:rsid w:val="003A3543"/>
    <w:rsid w:val="003A4661"/>
    <w:rsid w:val="003B08B4"/>
    <w:rsid w:val="003B209E"/>
    <w:rsid w:val="003B74CA"/>
    <w:rsid w:val="003C148A"/>
    <w:rsid w:val="003C6C3A"/>
    <w:rsid w:val="003E6A61"/>
    <w:rsid w:val="003F4D68"/>
    <w:rsid w:val="003F5769"/>
    <w:rsid w:val="00403753"/>
    <w:rsid w:val="00403829"/>
    <w:rsid w:val="00404162"/>
    <w:rsid w:val="00415ABD"/>
    <w:rsid w:val="00431C0B"/>
    <w:rsid w:val="00440AEA"/>
    <w:rsid w:val="00442617"/>
    <w:rsid w:val="00447E1E"/>
    <w:rsid w:val="00452430"/>
    <w:rsid w:val="00464118"/>
    <w:rsid w:val="0047294B"/>
    <w:rsid w:val="00474F8C"/>
    <w:rsid w:val="00475A01"/>
    <w:rsid w:val="00487906"/>
    <w:rsid w:val="00491B62"/>
    <w:rsid w:val="004958A8"/>
    <w:rsid w:val="004A211D"/>
    <w:rsid w:val="004A71B6"/>
    <w:rsid w:val="004B005E"/>
    <w:rsid w:val="004B3358"/>
    <w:rsid w:val="004B3EE1"/>
    <w:rsid w:val="004B5192"/>
    <w:rsid w:val="004C1602"/>
    <w:rsid w:val="004C3952"/>
    <w:rsid w:val="004C425F"/>
    <w:rsid w:val="004C6042"/>
    <w:rsid w:val="004C78DD"/>
    <w:rsid w:val="004D1223"/>
    <w:rsid w:val="004D73A4"/>
    <w:rsid w:val="004E3597"/>
    <w:rsid w:val="004E6A74"/>
    <w:rsid w:val="004F1645"/>
    <w:rsid w:val="004F6F42"/>
    <w:rsid w:val="00500CE9"/>
    <w:rsid w:val="00510E97"/>
    <w:rsid w:val="00513729"/>
    <w:rsid w:val="005150E1"/>
    <w:rsid w:val="00515B42"/>
    <w:rsid w:val="00516D55"/>
    <w:rsid w:val="005213E2"/>
    <w:rsid w:val="00530F12"/>
    <w:rsid w:val="00532D37"/>
    <w:rsid w:val="00537AAE"/>
    <w:rsid w:val="00541F5D"/>
    <w:rsid w:val="0054434A"/>
    <w:rsid w:val="00552C02"/>
    <w:rsid w:val="005644B1"/>
    <w:rsid w:val="005663CC"/>
    <w:rsid w:val="00573A3C"/>
    <w:rsid w:val="00576FF2"/>
    <w:rsid w:val="00585EC3"/>
    <w:rsid w:val="00593B82"/>
    <w:rsid w:val="00593D4A"/>
    <w:rsid w:val="005A1276"/>
    <w:rsid w:val="005A1919"/>
    <w:rsid w:val="005A6A47"/>
    <w:rsid w:val="005B07E8"/>
    <w:rsid w:val="005B0E6D"/>
    <w:rsid w:val="005B4BCF"/>
    <w:rsid w:val="005B5776"/>
    <w:rsid w:val="005B5D9E"/>
    <w:rsid w:val="005C2DE3"/>
    <w:rsid w:val="005C599B"/>
    <w:rsid w:val="005C7FFD"/>
    <w:rsid w:val="005D008A"/>
    <w:rsid w:val="005D127D"/>
    <w:rsid w:val="005D1C23"/>
    <w:rsid w:val="005D2EFD"/>
    <w:rsid w:val="005E009E"/>
    <w:rsid w:val="005E2E7D"/>
    <w:rsid w:val="005E5679"/>
    <w:rsid w:val="005F1621"/>
    <w:rsid w:val="005F2754"/>
    <w:rsid w:val="005F740C"/>
    <w:rsid w:val="00600115"/>
    <w:rsid w:val="00603743"/>
    <w:rsid w:val="006060D1"/>
    <w:rsid w:val="00607EE1"/>
    <w:rsid w:val="0061020B"/>
    <w:rsid w:val="00610E95"/>
    <w:rsid w:val="00613168"/>
    <w:rsid w:val="00613E5E"/>
    <w:rsid w:val="006160A3"/>
    <w:rsid w:val="00617EB8"/>
    <w:rsid w:val="006212E1"/>
    <w:rsid w:val="00621FDD"/>
    <w:rsid w:val="00624DF1"/>
    <w:rsid w:val="00625B7C"/>
    <w:rsid w:val="006316F1"/>
    <w:rsid w:val="00636BD8"/>
    <w:rsid w:val="00642DEE"/>
    <w:rsid w:val="00645FDD"/>
    <w:rsid w:val="00650D4C"/>
    <w:rsid w:val="00652858"/>
    <w:rsid w:val="006576C7"/>
    <w:rsid w:val="006600C0"/>
    <w:rsid w:val="00663DCB"/>
    <w:rsid w:val="006653E5"/>
    <w:rsid w:val="00671000"/>
    <w:rsid w:val="00672FA4"/>
    <w:rsid w:val="00674F4E"/>
    <w:rsid w:val="006767F2"/>
    <w:rsid w:val="00677E74"/>
    <w:rsid w:val="00680435"/>
    <w:rsid w:val="00682B6C"/>
    <w:rsid w:val="0068438E"/>
    <w:rsid w:val="00691856"/>
    <w:rsid w:val="006957BB"/>
    <w:rsid w:val="006C5333"/>
    <w:rsid w:val="006D0655"/>
    <w:rsid w:val="006D14C9"/>
    <w:rsid w:val="006D1BC5"/>
    <w:rsid w:val="006D36A4"/>
    <w:rsid w:val="006E3FD5"/>
    <w:rsid w:val="006E5DE8"/>
    <w:rsid w:val="006F1FA8"/>
    <w:rsid w:val="006F3AEC"/>
    <w:rsid w:val="006F40AC"/>
    <w:rsid w:val="007008F0"/>
    <w:rsid w:val="00712CC8"/>
    <w:rsid w:val="00717CA9"/>
    <w:rsid w:val="00717EDB"/>
    <w:rsid w:val="007218B2"/>
    <w:rsid w:val="007219D7"/>
    <w:rsid w:val="007264B0"/>
    <w:rsid w:val="00726CD0"/>
    <w:rsid w:val="00730980"/>
    <w:rsid w:val="007327D2"/>
    <w:rsid w:val="007344EE"/>
    <w:rsid w:val="00742752"/>
    <w:rsid w:val="00744DEF"/>
    <w:rsid w:val="00752FCA"/>
    <w:rsid w:val="00755418"/>
    <w:rsid w:val="00764415"/>
    <w:rsid w:val="00765697"/>
    <w:rsid w:val="007676CE"/>
    <w:rsid w:val="007841F6"/>
    <w:rsid w:val="00785EFC"/>
    <w:rsid w:val="007864ED"/>
    <w:rsid w:val="0078750E"/>
    <w:rsid w:val="007A13F8"/>
    <w:rsid w:val="007A1A74"/>
    <w:rsid w:val="007B12E1"/>
    <w:rsid w:val="007B5B00"/>
    <w:rsid w:val="007B7E0F"/>
    <w:rsid w:val="007C4F8E"/>
    <w:rsid w:val="007C6715"/>
    <w:rsid w:val="007C7A2A"/>
    <w:rsid w:val="007D136E"/>
    <w:rsid w:val="007D5970"/>
    <w:rsid w:val="007D5EA1"/>
    <w:rsid w:val="007E2022"/>
    <w:rsid w:val="007E2CB3"/>
    <w:rsid w:val="007E5F60"/>
    <w:rsid w:val="007F3AFE"/>
    <w:rsid w:val="00806020"/>
    <w:rsid w:val="00807C4D"/>
    <w:rsid w:val="00810F63"/>
    <w:rsid w:val="00812828"/>
    <w:rsid w:val="0081492E"/>
    <w:rsid w:val="00816E7B"/>
    <w:rsid w:val="0082019B"/>
    <w:rsid w:val="00822E47"/>
    <w:rsid w:val="008243EE"/>
    <w:rsid w:val="00825FA0"/>
    <w:rsid w:val="00826BA3"/>
    <w:rsid w:val="00830D3D"/>
    <w:rsid w:val="008323C0"/>
    <w:rsid w:val="008338E3"/>
    <w:rsid w:val="00834BA1"/>
    <w:rsid w:val="0084048C"/>
    <w:rsid w:val="0085525A"/>
    <w:rsid w:val="00857255"/>
    <w:rsid w:val="00863D22"/>
    <w:rsid w:val="00865A3F"/>
    <w:rsid w:val="00870888"/>
    <w:rsid w:val="0087214F"/>
    <w:rsid w:val="00884D98"/>
    <w:rsid w:val="00892511"/>
    <w:rsid w:val="00895609"/>
    <w:rsid w:val="0089783F"/>
    <w:rsid w:val="008A1184"/>
    <w:rsid w:val="008A15DD"/>
    <w:rsid w:val="008A48CE"/>
    <w:rsid w:val="008A5935"/>
    <w:rsid w:val="008B0AC7"/>
    <w:rsid w:val="008B7C82"/>
    <w:rsid w:val="008C25BF"/>
    <w:rsid w:val="008C521F"/>
    <w:rsid w:val="008D2D41"/>
    <w:rsid w:val="008D682B"/>
    <w:rsid w:val="008D7225"/>
    <w:rsid w:val="008F063A"/>
    <w:rsid w:val="008F4A49"/>
    <w:rsid w:val="008F7846"/>
    <w:rsid w:val="00905E31"/>
    <w:rsid w:val="009147DC"/>
    <w:rsid w:val="00917007"/>
    <w:rsid w:val="00917E0E"/>
    <w:rsid w:val="00925B73"/>
    <w:rsid w:val="00927E47"/>
    <w:rsid w:val="009330E7"/>
    <w:rsid w:val="0093426B"/>
    <w:rsid w:val="009367E4"/>
    <w:rsid w:val="00941F4F"/>
    <w:rsid w:val="00943533"/>
    <w:rsid w:val="00943A86"/>
    <w:rsid w:val="00946B8B"/>
    <w:rsid w:val="00947E7B"/>
    <w:rsid w:val="00950681"/>
    <w:rsid w:val="00953FEC"/>
    <w:rsid w:val="00963B54"/>
    <w:rsid w:val="00967FA9"/>
    <w:rsid w:val="0098199D"/>
    <w:rsid w:val="00994509"/>
    <w:rsid w:val="00994934"/>
    <w:rsid w:val="00995E82"/>
    <w:rsid w:val="009A1A91"/>
    <w:rsid w:val="009A3753"/>
    <w:rsid w:val="009A6384"/>
    <w:rsid w:val="009B6403"/>
    <w:rsid w:val="009C17F5"/>
    <w:rsid w:val="009C4364"/>
    <w:rsid w:val="009C54A2"/>
    <w:rsid w:val="009D2AAF"/>
    <w:rsid w:val="009D62D7"/>
    <w:rsid w:val="009E242D"/>
    <w:rsid w:val="009E63DB"/>
    <w:rsid w:val="009F2139"/>
    <w:rsid w:val="009F27E2"/>
    <w:rsid w:val="009F33E5"/>
    <w:rsid w:val="009F5852"/>
    <w:rsid w:val="00A0008E"/>
    <w:rsid w:val="00A04160"/>
    <w:rsid w:val="00A07BCF"/>
    <w:rsid w:val="00A17145"/>
    <w:rsid w:val="00A2020C"/>
    <w:rsid w:val="00A33683"/>
    <w:rsid w:val="00A33DD6"/>
    <w:rsid w:val="00A342E0"/>
    <w:rsid w:val="00A40714"/>
    <w:rsid w:val="00A538DC"/>
    <w:rsid w:val="00A567BA"/>
    <w:rsid w:val="00A61D1F"/>
    <w:rsid w:val="00A67CA2"/>
    <w:rsid w:val="00A7115B"/>
    <w:rsid w:val="00A74E7B"/>
    <w:rsid w:val="00A76718"/>
    <w:rsid w:val="00A83AD8"/>
    <w:rsid w:val="00A90A8E"/>
    <w:rsid w:val="00A93B7C"/>
    <w:rsid w:val="00A93D0A"/>
    <w:rsid w:val="00A950FF"/>
    <w:rsid w:val="00A974B2"/>
    <w:rsid w:val="00AA30E6"/>
    <w:rsid w:val="00AA4E30"/>
    <w:rsid w:val="00AA5F00"/>
    <w:rsid w:val="00AC193A"/>
    <w:rsid w:val="00AC3A2C"/>
    <w:rsid w:val="00AC65E8"/>
    <w:rsid w:val="00AD240D"/>
    <w:rsid w:val="00AD4862"/>
    <w:rsid w:val="00AE37EF"/>
    <w:rsid w:val="00AE426E"/>
    <w:rsid w:val="00AE7CA0"/>
    <w:rsid w:val="00AF0536"/>
    <w:rsid w:val="00AF171F"/>
    <w:rsid w:val="00AF5687"/>
    <w:rsid w:val="00AF6606"/>
    <w:rsid w:val="00B100FC"/>
    <w:rsid w:val="00B11A90"/>
    <w:rsid w:val="00B15AB2"/>
    <w:rsid w:val="00B21609"/>
    <w:rsid w:val="00B219B6"/>
    <w:rsid w:val="00B23B68"/>
    <w:rsid w:val="00B3523C"/>
    <w:rsid w:val="00B41989"/>
    <w:rsid w:val="00B43A73"/>
    <w:rsid w:val="00B47BFD"/>
    <w:rsid w:val="00B511A3"/>
    <w:rsid w:val="00B5321E"/>
    <w:rsid w:val="00B571B0"/>
    <w:rsid w:val="00B573B8"/>
    <w:rsid w:val="00B73D5A"/>
    <w:rsid w:val="00B74F1A"/>
    <w:rsid w:val="00B7776A"/>
    <w:rsid w:val="00B81A56"/>
    <w:rsid w:val="00B83BAC"/>
    <w:rsid w:val="00B84A0D"/>
    <w:rsid w:val="00B924A3"/>
    <w:rsid w:val="00B9736A"/>
    <w:rsid w:val="00BA0D09"/>
    <w:rsid w:val="00BA20A3"/>
    <w:rsid w:val="00BA3EDB"/>
    <w:rsid w:val="00BA4E90"/>
    <w:rsid w:val="00BC429B"/>
    <w:rsid w:val="00BC58DB"/>
    <w:rsid w:val="00BC637C"/>
    <w:rsid w:val="00BD1AA4"/>
    <w:rsid w:val="00BD2489"/>
    <w:rsid w:val="00BD60F5"/>
    <w:rsid w:val="00BD6B05"/>
    <w:rsid w:val="00BE0949"/>
    <w:rsid w:val="00BE3696"/>
    <w:rsid w:val="00BE4E6B"/>
    <w:rsid w:val="00BF2CB3"/>
    <w:rsid w:val="00C00F11"/>
    <w:rsid w:val="00C018B6"/>
    <w:rsid w:val="00C24A17"/>
    <w:rsid w:val="00C24E74"/>
    <w:rsid w:val="00C33260"/>
    <w:rsid w:val="00C3358E"/>
    <w:rsid w:val="00C34B6E"/>
    <w:rsid w:val="00C35FA8"/>
    <w:rsid w:val="00C400D0"/>
    <w:rsid w:val="00C41187"/>
    <w:rsid w:val="00C4220E"/>
    <w:rsid w:val="00C46FBC"/>
    <w:rsid w:val="00C47556"/>
    <w:rsid w:val="00C53942"/>
    <w:rsid w:val="00C57421"/>
    <w:rsid w:val="00C57E49"/>
    <w:rsid w:val="00C619B2"/>
    <w:rsid w:val="00C63AF1"/>
    <w:rsid w:val="00C6576E"/>
    <w:rsid w:val="00C744FB"/>
    <w:rsid w:val="00C815FC"/>
    <w:rsid w:val="00C8254A"/>
    <w:rsid w:val="00C8536F"/>
    <w:rsid w:val="00C86957"/>
    <w:rsid w:val="00C9042A"/>
    <w:rsid w:val="00C92CDC"/>
    <w:rsid w:val="00C95186"/>
    <w:rsid w:val="00C96BB4"/>
    <w:rsid w:val="00CA6264"/>
    <w:rsid w:val="00CA671A"/>
    <w:rsid w:val="00CB2459"/>
    <w:rsid w:val="00CB2FE8"/>
    <w:rsid w:val="00CB33E0"/>
    <w:rsid w:val="00CD02CA"/>
    <w:rsid w:val="00CD5929"/>
    <w:rsid w:val="00CE76BB"/>
    <w:rsid w:val="00CF3F6C"/>
    <w:rsid w:val="00CF54E4"/>
    <w:rsid w:val="00D00776"/>
    <w:rsid w:val="00D07854"/>
    <w:rsid w:val="00D13D28"/>
    <w:rsid w:val="00D16512"/>
    <w:rsid w:val="00D31308"/>
    <w:rsid w:val="00D34B89"/>
    <w:rsid w:val="00D36DDE"/>
    <w:rsid w:val="00D4107F"/>
    <w:rsid w:val="00D415BC"/>
    <w:rsid w:val="00D434FF"/>
    <w:rsid w:val="00D457C1"/>
    <w:rsid w:val="00D51A36"/>
    <w:rsid w:val="00D5206B"/>
    <w:rsid w:val="00D53251"/>
    <w:rsid w:val="00D5348A"/>
    <w:rsid w:val="00D556D3"/>
    <w:rsid w:val="00D5720C"/>
    <w:rsid w:val="00D601A9"/>
    <w:rsid w:val="00D6150E"/>
    <w:rsid w:val="00D70A61"/>
    <w:rsid w:val="00D7718C"/>
    <w:rsid w:val="00D8249F"/>
    <w:rsid w:val="00D84945"/>
    <w:rsid w:val="00D91641"/>
    <w:rsid w:val="00D91ADB"/>
    <w:rsid w:val="00D9325B"/>
    <w:rsid w:val="00D9705C"/>
    <w:rsid w:val="00DA3292"/>
    <w:rsid w:val="00DB1C53"/>
    <w:rsid w:val="00DB7BAA"/>
    <w:rsid w:val="00DC1911"/>
    <w:rsid w:val="00DD09C7"/>
    <w:rsid w:val="00DD55DD"/>
    <w:rsid w:val="00DD6BEA"/>
    <w:rsid w:val="00DD7B79"/>
    <w:rsid w:val="00DE195D"/>
    <w:rsid w:val="00DE26DC"/>
    <w:rsid w:val="00DF0977"/>
    <w:rsid w:val="00DF23D9"/>
    <w:rsid w:val="00DF65C6"/>
    <w:rsid w:val="00E009C6"/>
    <w:rsid w:val="00E01DBA"/>
    <w:rsid w:val="00E10927"/>
    <w:rsid w:val="00E15F4D"/>
    <w:rsid w:val="00E168C6"/>
    <w:rsid w:val="00E22B77"/>
    <w:rsid w:val="00E27E2A"/>
    <w:rsid w:val="00E33EFC"/>
    <w:rsid w:val="00E35DA0"/>
    <w:rsid w:val="00E510A5"/>
    <w:rsid w:val="00E60FB1"/>
    <w:rsid w:val="00E66CB6"/>
    <w:rsid w:val="00E73E1D"/>
    <w:rsid w:val="00E921FE"/>
    <w:rsid w:val="00E95910"/>
    <w:rsid w:val="00E97045"/>
    <w:rsid w:val="00EA61EA"/>
    <w:rsid w:val="00EA6F3E"/>
    <w:rsid w:val="00EA7301"/>
    <w:rsid w:val="00EB3379"/>
    <w:rsid w:val="00EB5C3B"/>
    <w:rsid w:val="00EB7486"/>
    <w:rsid w:val="00EC7B88"/>
    <w:rsid w:val="00EF3ACF"/>
    <w:rsid w:val="00EF5131"/>
    <w:rsid w:val="00EF515A"/>
    <w:rsid w:val="00EF582C"/>
    <w:rsid w:val="00EF5EE3"/>
    <w:rsid w:val="00F019A7"/>
    <w:rsid w:val="00F10349"/>
    <w:rsid w:val="00F2119A"/>
    <w:rsid w:val="00F318EE"/>
    <w:rsid w:val="00F333A1"/>
    <w:rsid w:val="00F40646"/>
    <w:rsid w:val="00F43C8B"/>
    <w:rsid w:val="00F52A15"/>
    <w:rsid w:val="00F55A68"/>
    <w:rsid w:val="00F62004"/>
    <w:rsid w:val="00F64E18"/>
    <w:rsid w:val="00F65792"/>
    <w:rsid w:val="00F91C30"/>
    <w:rsid w:val="00F949A1"/>
    <w:rsid w:val="00F94EFF"/>
    <w:rsid w:val="00F9586C"/>
    <w:rsid w:val="00F96354"/>
    <w:rsid w:val="00FA2C72"/>
    <w:rsid w:val="00FA420C"/>
    <w:rsid w:val="00FA61A0"/>
    <w:rsid w:val="00FB4346"/>
    <w:rsid w:val="00FB724C"/>
    <w:rsid w:val="00FB7370"/>
    <w:rsid w:val="00FC1025"/>
    <w:rsid w:val="00FD4E47"/>
    <w:rsid w:val="00FD7521"/>
    <w:rsid w:val="00FE0DD1"/>
    <w:rsid w:val="00FF274D"/>
    <w:rsid w:val="00FF6D09"/>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CC18F-B0A0-42D4-A652-ECAD531A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Expertises-et-publications/Catalogue-des-pub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Texte.do?cidTexte=JORFTEXT000000227015&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203D-F60B-4346-86C9-B651C7ED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2602</Words>
  <Characters>14313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16882</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Annexe</cp:lastModifiedBy>
  <cp:revision>2</cp:revision>
  <cp:lastPrinted>2018-12-14T11:43:00Z</cp:lastPrinted>
  <dcterms:created xsi:type="dcterms:W3CDTF">2019-04-03T10:04:00Z</dcterms:created>
  <dcterms:modified xsi:type="dcterms:W3CDTF">2019-04-03T10:04:00Z</dcterms:modified>
</cp:coreProperties>
</file>