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149" w:rsidRDefault="00996149">
      <w:pPr>
        <w:pStyle w:val="Textbody"/>
        <w:rPr>
          <w:sz w:val="18"/>
          <w:szCs w:val="18"/>
        </w:rPr>
      </w:pPr>
    </w:p>
    <w:tbl>
      <w:tblPr>
        <w:tblW w:w="2550" w:type="dxa"/>
        <w:tblLayout w:type="fixed"/>
        <w:tblCellMar>
          <w:left w:w="10" w:type="dxa"/>
          <w:right w:w="10" w:type="dxa"/>
        </w:tblCellMar>
        <w:tblLook w:val="0000" w:firstRow="0" w:lastRow="0" w:firstColumn="0" w:lastColumn="0" w:noHBand="0" w:noVBand="0"/>
      </w:tblPr>
      <w:tblGrid>
        <w:gridCol w:w="2550"/>
      </w:tblGrid>
      <w:tr w:rsidR="00996149">
        <w:tblPrEx>
          <w:tblCellMar>
            <w:top w:w="0" w:type="dxa"/>
            <w:bottom w:w="0" w:type="dxa"/>
          </w:tblCellMar>
        </w:tblPrEx>
        <w:tc>
          <w:tcPr>
            <w:tcW w:w="2550" w:type="dxa"/>
            <w:tcMar>
              <w:top w:w="0" w:type="dxa"/>
              <w:left w:w="0" w:type="dxa"/>
              <w:bottom w:w="0" w:type="dxa"/>
              <w:right w:w="0" w:type="dxa"/>
            </w:tcMar>
          </w:tcPr>
          <w:p w:rsidR="00996149" w:rsidRDefault="00DA4C36">
            <w:pPr>
              <w:pStyle w:val="TableContents"/>
              <w:snapToGrid w:val="0"/>
              <w:jc w:val="center"/>
              <w:rPr>
                <w:sz w:val="16"/>
                <w:szCs w:val="16"/>
              </w:rPr>
            </w:pPr>
            <w:r>
              <w:rPr>
                <w:sz w:val="16"/>
                <w:szCs w:val="16"/>
              </w:rPr>
              <w:t>Cabinet de La Préfète Déléguée</w:t>
            </w:r>
          </w:p>
          <w:p w:rsidR="00996149" w:rsidRDefault="00DA4C36">
            <w:pPr>
              <w:pStyle w:val="TableContents"/>
              <w:snapToGrid w:val="0"/>
              <w:jc w:val="center"/>
              <w:rPr>
                <w:sz w:val="16"/>
                <w:szCs w:val="16"/>
              </w:rPr>
            </w:pPr>
            <w:r>
              <w:rPr>
                <w:sz w:val="16"/>
                <w:szCs w:val="16"/>
              </w:rPr>
              <w:t xml:space="preserve"> </w:t>
            </w:r>
            <w:proofErr w:type="gramStart"/>
            <w:r>
              <w:rPr>
                <w:sz w:val="16"/>
                <w:szCs w:val="16"/>
              </w:rPr>
              <w:t>pour</w:t>
            </w:r>
            <w:proofErr w:type="gramEnd"/>
            <w:r>
              <w:rPr>
                <w:sz w:val="16"/>
                <w:szCs w:val="16"/>
              </w:rPr>
              <w:t xml:space="preserve"> l’Égalité des Chances</w:t>
            </w:r>
          </w:p>
        </w:tc>
      </w:tr>
    </w:tbl>
    <w:p w:rsidR="00996149" w:rsidRDefault="00996149">
      <w:pPr>
        <w:pStyle w:val="Standard"/>
        <w:rPr>
          <w:sz w:val="22"/>
          <w:szCs w:val="22"/>
        </w:rPr>
      </w:pPr>
    </w:p>
    <w:p w:rsidR="00996149" w:rsidRDefault="00996149">
      <w:pPr>
        <w:pStyle w:val="Standard"/>
        <w:rPr>
          <w:sz w:val="22"/>
          <w:szCs w:val="22"/>
        </w:rPr>
      </w:pPr>
    </w:p>
    <w:p w:rsidR="00996149" w:rsidRDefault="00996149">
      <w:pPr>
        <w:pStyle w:val="Standard"/>
        <w:rPr>
          <w:sz w:val="22"/>
          <w:szCs w:val="22"/>
        </w:rPr>
      </w:pPr>
    </w:p>
    <w:p w:rsidR="00996149" w:rsidRDefault="00996149">
      <w:pPr>
        <w:pStyle w:val="Standard"/>
        <w:rPr>
          <w:sz w:val="22"/>
          <w:szCs w:val="22"/>
        </w:rPr>
      </w:pPr>
    </w:p>
    <w:p w:rsidR="00996149" w:rsidRDefault="00DA4C36">
      <w:pPr>
        <w:pStyle w:val="Standard"/>
        <w:jc w:val="center"/>
        <w:rPr>
          <w:b/>
          <w:color w:val="000000"/>
          <w:sz w:val="32"/>
          <w:szCs w:val="32"/>
        </w:rPr>
      </w:pPr>
      <w:r>
        <w:rPr>
          <w:b/>
          <w:color w:val="000000"/>
          <w:sz w:val="32"/>
          <w:szCs w:val="32"/>
        </w:rPr>
        <w:t>MISSION INTERMINISTERIELLE DE LUTTE CONTRE</w:t>
      </w:r>
    </w:p>
    <w:p w:rsidR="00996149" w:rsidRDefault="00DA4C36">
      <w:pPr>
        <w:pStyle w:val="Standard"/>
        <w:jc w:val="center"/>
        <w:rPr>
          <w:b/>
          <w:color w:val="000000"/>
          <w:sz w:val="32"/>
          <w:szCs w:val="32"/>
        </w:rPr>
      </w:pPr>
      <w:r>
        <w:rPr>
          <w:b/>
          <w:color w:val="000000"/>
          <w:sz w:val="32"/>
          <w:szCs w:val="32"/>
        </w:rPr>
        <w:t>LES DROGUES ET LES CONDUITES ADDICTIVES</w:t>
      </w:r>
    </w:p>
    <w:p w:rsidR="00996149" w:rsidRDefault="00996149">
      <w:pPr>
        <w:pStyle w:val="Standard"/>
        <w:jc w:val="center"/>
        <w:rPr>
          <w:color w:val="C1C1C1"/>
          <w:sz w:val="32"/>
          <w:szCs w:val="32"/>
        </w:rPr>
      </w:pPr>
    </w:p>
    <w:p w:rsidR="00996149" w:rsidRDefault="00DA4C36">
      <w:pPr>
        <w:pStyle w:val="Standard"/>
        <w:jc w:val="center"/>
        <w:rPr>
          <w:color w:val="DDDDDD"/>
          <w:sz w:val="32"/>
          <w:szCs w:val="32"/>
        </w:rPr>
      </w:pPr>
      <w:r>
        <w:rPr>
          <w:color w:val="DDDDDD"/>
          <w:sz w:val="32"/>
          <w:szCs w:val="32"/>
        </w:rPr>
        <w:t xml:space="preserve">APPEL A PROJETS DEPARTEMENTAL </w:t>
      </w:r>
      <w:r>
        <w:rPr>
          <w:color w:val="DDDDDD"/>
          <w:sz w:val="32"/>
          <w:szCs w:val="32"/>
        </w:rPr>
        <w:t>2019</w:t>
      </w:r>
    </w:p>
    <w:p w:rsidR="00996149" w:rsidRDefault="00DA4C36">
      <w:pPr>
        <w:pStyle w:val="Standard"/>
        <w:jc w:val="center"/>
        <w:rPr>
          <w:color w:val="DDDDDD"/>
          <w:sz w:val="32"/>
          <w:szCs w:val="32"/>
        </w:rPr>
      </w:pPr>
      <w:r>
        <w:rPr>
          <w:color w:val="DDDDDD"/>
          <w:sz w:val="32"/>
          <w:szCs w:val="32"/>
        </w:rPr>
        <w:t>Bouches-du-Rhône</w:t>
      </w:r>
    </w:p>
    <w:p w:rsidR="00996149" w:rsidRDefault="00DA4C36">
      <w:pPr>
        <w:pStyle w:val="Standard"/>
        <w:jc w:val="center"/>
        <w:rPr>
          <w:color w:val="C1C1C1"/>
          <w:sz w:val="32"/>
          <w:szCs w:val="32"/>
        </w:rPr>
      </w:pPr>
      <w:r>
        <w:rPr>
          <w:noProof/>
          <w:color w:val="C1C1C1"/>
          <w:sz w:val="32"/>
          <w:szCs w:val="32"/>
        </w:rPr>
        <w:drawing>
          <wp:anchor distT="0" distB="0" distL="114300" distR="114300" simplePos="0" relativeHeight="251658240" behindDoc="0" locked="0" layoutInCell="1" allowOverlap="1">
            <wp:simplePos x="0" y="0"/>
            <wp:positionH relativeFrom="column">
              <wp:posOffset>1639080</wp:posOffset>
            </wp:positionH>
            <wp:positionV relativeFrom="paragraph">
              <wp:posOffset>836999</wp:posOffset>
            </wp:positionV>
            <wp:extent cx="2439720" cy="891720"/>
            <wp:effectExtent l="0" t="0" r="0" b="3630"/>
            <wp:wrapTopAndBottom/>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39720" cy="891720"/>
                    </a:xfrm>
                    <a:prstGeom prst="rect">
                      <a:avLst/>
                    </a:prstGeom>
                  </pic:spPr>
                </pic:pic>
              </a:graphicData>
            </a:graphic>
          </wp:anchor>
        </w:drawing>
      </w:r>
    </w:p>
    <w:p w:rsidR="00996149" w:rsidRDefault="00996149">
      <w:pPr>
        <w:pStyle w:val="Standard"/>
        <w:jc w:val="center"/>
        <w:rPr>
          <w:color w:val="C1C1C1"/>
          <w:sz w:val="32"/>
          <w:szCs w:val="32"/>
        </w:rPr>
      </w:pPr>
    </w:p>
    <w:p w:rsidR="00996149" w:rsidRDefault="00996149">
      <w:pPr>
        <w:pStyle w:val="Standard"/>
        <w:jc w:val="center"/>
        <w:rPr>
          <w:color w:val="C1C1C1"/>
          <w:sz w:val="32"/>
          <w:szCs w:val="32"/>
        </w:rPr>
      </w:pPr>
    </w:p>
    <w:p w:rsidR="00996149" w:rsidRDefault="00996149">
      <w:pPr>
        <w:pStyle w:val="Standard"/>
        <w:jc w:val="center"/>
        <w:rPr>
          <w:color w:val="C1C1C1"/>
          <w:sz w:val="32"/>
          <w:szCs w:val="32"/>
        </w:rPr>
      </w:pPr>
    </w:p>
    <w:p w:rsidR="00996149" w:rsidRDefault="00996149">
      <w:pPr>
        <w:pStyle w:val="Standard"/>
        <w:jc w:val="center"/>
        <w:rPr>
          <w:color w:val="C1C1C1"/>
          <w:sz w:val="32"/>
          <w:szCs w:val="32"/>
        </w:rPr>
      </w:pPr>
    </w:p>
    <w:p w:rsidR="00996149" w:rsidRDefault="00996149">
      <w:pPr>
        <w:pStyle w:val="Standard"/>
        <w:jc w:val="center"/>
        <w:rPr>
          <w:color w:val="C1C1C1"/>
          <w:sz w:val="32"/>
          <w:szCs w:val="32"/>
        </w:rPr>
      </w:pPr>
    </w:p>
    <w:p w:rsidR="00996149" w:rsidRDefault="00996149">
      <w:pPr>
        <w:pStyle w:val="Standard"/>
        <w:jc w:val="center"/>
        <w:rPr>
          <w:color w:val="C1C1C1"/>
          <w:sz w:val="32"/>
          <w:szCs w:val="32"/>
        </w:rPr>
      </w:pPr>
    </w:p>
    <w:p w:rsidR="00996149" w:rsidRDefault="00996149">
      <w:pPr>
        <w:pStyle w:val="Standard"/>
        <w:jc w:val="center"/>
        <w:rPr>
          <w:color w:val="C1C1C1"/>
          <w:sz w:val="32"/>
          <w:szCs w:val="32"/>
        </w:rPr>
      </w:pPr>
    </w:p>
    <w:p w:rsidR="00996149" w:rsidRDefault="00996149">
      <w:pPr>
        <w:pStyle w:val="Standard"/>
        <w:jc w:val="center"/>
        <w:rPr>
          <w:color w:val="C1C1C1"/>
          <w:sz w:val="32"/>
          <w:szCs w:val="32"/>
        </w:rPr>
      </w:pPr>
    </w:p>
    <w:p w:rsidR="00996149" w:rsidRDefault="00996149">
      <w:pPr>
        <w:pStyle w:val="Standard"/>
        <w:jc w:val="center"/>
        <w:rPr>
          <w:color w:val="C1C1C1"/>
          <w:sz w:val="32"/>
          <w:szCs w:val="32"/>
        </w:rPr>
      </w:pPr>
    </w:p>
    <w:p w:rsidR="00996149" w:rsidRDefault="00996149">
      <w:pPr>
        <w:pStyle w:val="Standard"/>
        <w:jc w:val="center"/>
        <w:rPr>
          <w:color w:val="C1C1C1"/>
          <w:sz w:val="32"/>
          <w:szCs w:val="32"/>
        </w:rPr>
      </w:pPr>
    </w:p>
    <w:p w:rsidR="00996149" w:rsidRDefault="00996149">
      <w:pPr>
        <w:pStyle w:val="Standard"/>
        <w:jc w:val="center"/>
        <w:rPr>
          <w:color w:val="C1C1C1"/>
          <w:sz w:val="32"/>
          <w:szCs w:val="32"/>
        </w:rPr>
      </w:pPr>
    </w:p>
    <w:p w:rsidR="00996149" w:rsidRDefault="00DA4C36">
      <w:pPr>
        <w:pStyle w:val="Standard"/>
        <w:ind w:left="2551"/>
        <w:jc w:val="both"/>
        <w:rPr>
          <w:color w:val="000000"/>
          <w:sz w:val="32"/>
          <w:szCs w:val="32"/>
        </w:rPr>
      </w:pPr>
      <w:r>
        <w:rPr>
          <w:color w:val="000000"/>
          <w:szCs w:val="32"/>
        </w:rPr>
        <w:t>La demande de subvention pour l’année 2019</w:t>
      </w:r>
    </w:p>
    <w:p w:rsidR="00996149" w:rsidRDefault="00DA4C36">
      <w:pPr>
        <w:pStyle w:val="Standard"/>
        <w:ind w:left="2551"/>
        <w:jc w:val="both"/>
        <w:rPr>
          <w:color w:val="000000"/>
          <w:sz w:val="32"/>
          <w:szCs w:val="32"/>
        </w:rPr>
      </w:pPr>
      <w:r>
        <w:rPr>
          <w:color w:val="000000"/>
          <w:szCs w:val="32"/>
        </w:rPr>
        <w:t xml:space="preserve">      </w:t>
      </w:r>
      <w:proofErr w:type="gramStart"/>
      <w:r>
        <w:rPr>
          <w:color w:val="000000"/>
          <w:szCs w:val="32"/>
        </w:rPr>
        <w:t>doit</w:t>
      </w:r>
      <w:proofErr w:type="gramEnd"/>
      <w:r>
        <w:rPr>
          <w:color w:val="000000"/>
          <w:szCs w:val="32"/>
        </w:rPr>
        <w:t xml:space="preserve"> être </w:t>
      </w:r>
      <w:proofErr w:type="spellStart"/>
      <w:r>
        <w:rPr>
          <w:color w:val="000000"/>
          <w:szCs w:val="32"/>
        </w:rPr>
        <w:t>deposée</w:t>
      </w:r>
      <w:proofErr w:type="spellEnd"/>
      <w:r>
        <w:rPr>
          <w:color w:val="000000"/>
          <w:szCs w:val="32"/>
        </w:rPr>
        <w:t xml:space="preserve"> auprès du cabinet de</w:t>
      </w:r>
    </w:p>
    <w:p w:rsidR="00996149" w:rsidRDefault="00DA4C36">
      <w:pPr>
        <w:pStyle w:val="Standard"/>
        <w:ind w:left="2551"/>
        <w:jc w:val="both"/>
        <w:rPr>
          <w:color w:val="000000"/>
          <w:sz w:val="32"/>
          <w:szCs w:val="32"/>
        </w:rPr>
      </w:pPr>
      <w:proofErr w:type="gramStart"/>
      <w:r>
        <w:rPr>
          <w:color w:val="000000"/>
          <w:szCs w:val="32"/>
        </w:rPr>
        <w:t>la</w:t>
      </w:r>
      <w:proofErr w:type="gramEnd"/>
      <w:r>
        <w:rPr>
          <w:color w:val="000000"/>
          <w:szCs w:val="32"/>
        </w:rPr>
        <w:t xml:space="preserve"> Préfète Déléguée pour l’Égalité des chances :</w:t>
      </w:r>
    </w:p>
    <w:p w:rsidR="00996149" w:rsidRDefault="00996149">
      <w:pPr>
        <w:pStyle w:val="Standard"/>
        <w:jc w:val="center"/>
        <w:rPr>
          <w:color w:val="000000"/>
          <w:szCs w:val="32"/>
        </w:rPr>
      </w:pPr>
    </w:p>
    <w:p w:rsidR="00996149" w:rsidRDefault="00DA4C36">
      <w:pPr>
        <w:pStyle w:val="Standard"/>
        <w:jc w:val="center"/>
        <w:rPr>
          <w:color w:val="000000"/>
          <w:sz w:val="32"/>
          <w:szCs w:val="32"/>
          <w:u w:val="single"/>
        </w:rPr>
      </w:pPr>
      <w:r>
        <w:rPr>
          <w:b/>
          <w:color w:val="000000"/>
          <w:szCs w:val="32"/>
          <w:u w:val="single"/>
        </w:rPr>
        <w:t xml:space="preserve">Avant </w:t>
      </w:r>
      <w:proofErr w:type="gramStart"/>
      <w:r>
        <w:rPr>
          <w:b/>
          <w:color w:val="000000"/>
          <w:szCs w:val="32"/>
          <w:u w:val="single"/>
        </w:rPr>
        <w:t>le  17</w:t>
      </w:r>
      <w:proofErr w:type="gramEnd"/>
      <w:r>
        <w:rPr>
          <w:b/>
          <w:color w:val="000000"/>
          <w:szCs w:val="32"/>
          <w:u w:val="single"/>
        </w:rPr>
        <w:t xml:space="preserve"> mai</w:t>
      </w:r>
      <w:r>
        <w:rPr>
          <w:b/>
          <w:color w:val="000000"/>
          <w:szCs w:val="32"/>
          <w:u w:val="single"/>
        </w:rPr>
        <w:t xml:space="preserve">  2019</w:t>
      </w: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Cs w:val="32"/>
          <w:u w:val="single"/>
          <w:shd w:val="clear" w:color="auto" w:fill="FFFF00"/>
        </w:rPr>
      </w:pPr>
    </w:p>
    <w:p w:rsidR="00996149" w:rsidRDefault="00996149">
      <w:pPr>
        <w:pStyle w:val="Standard"/>
        <w:jc w:val="center"/>
        <w:rPr>
          <w:rFonts w:ascii="TimesNewRomanPS-BoldMT" w:hAnsi="TimesNewRomanPS-BoldMT" w:hint="eastAsia"/>
          <w:b/>
          <w:color w:val="000000"/>
          <w:sz w:val="18"/>
          <w:szCs w:val="18"/>
          <w:u w:val="single"/>
          <w:shd w:val="clear" w:color="auto" w:fill="FFFF00"/>
        </w:rPr>
      </w:pPr>
    </w:p>
    <w:p w:rsidR="00996149" w:rsidRDefault="00DA4C36">
      <w:pPr>
        <w:pStyle w:val="Standard"/>
        <w:jc w:val="center"/>
        <w:rPr>
          <w:rFonts w:ascii="TimesNewRomanPS-BoldMT" w:hAnsi="TimesNewRomanPS-BoldMT" w:hint="eastAsia"/>
          <w:b/>
          <w:bCs/>
          <w:color w:val="000000"/>
          <w:szCs w:val="32"/>
          <w:u w:val="single"/>
        </w:rPr>
      </w:pPr>
      <w:r>
        <w:rPr>
          <w:rFonts w:ascii="TimesNewRomanPS-BoldMT" w:hAnsi="TimesNewRomanPS-BoldMT"/>
          <w:b/>
          <w:bCs/>
          <w:color w:val="000000"/>
          <w:szCs w:val="32"/>
          <w:u w:val="single"/>
        </w:rPr>
        <w:lastRenderedPageBreak/>
        <w:t>LE CADRE D’INTERVENTION</w:t>
      </w:r>
    </w:p>
    <w:p w:rsidR="00996149" w:rsidRDefault="00996149">
      <w:pPr>
        <w:pStyle w:val="Standard"/>
        <w:jc w:val="center"/>
        <w:rPr>
          <w:rFonts w:ascii="TimesNewRomanPS-BoldMT" w:hAnsi="TimesNewRomanPS-BoldMT" w:hint="eastAsia"/>
          <w:b/>
          <w:bCs/>
          <w:color w:val="000000"/>
          <w:szCs w:val="32"/>
          <w:u w:val="single"/>
        </w:rPr>
      </w:pPr>
    </w:p>
    <w:p w:rsidR="00996149" w:rsidRDefault="00DA4C36">
      <w:pPr>
        <w:pStyle w:val="Standard"/>
        <w:jc w:val="both"/>
      </w:pPr>
      <w:r>
        <w:rPr>
          <w:color w:val="000000"/>
        </w:rPr>
        <w:t xml:space="preserve">La politique de lutte contre les drogues et les conduites addictives nécessite une mobilisation des différents acteurs publics et partenaires qui interviennent dans le domaine de la prévention, des </w:t>
      </w:r>
      <w:r>
        <w:rPr>
          <w:color w:val="000000"/>
          <w:szCs w:val="32"/>
        </w:rPr>
        <w:t xml:space="preserve">soins et de </w:t>
      </w:r>
      <w:r>
        <w:rPr>
          <w:color w:val="000000"/>
          <w:szCs w:val="32"/>
        </w:rPr>
        <w:t>la réduction des risques.</w:t>
      </w:r>
    </w:p>
    <w:p w:rsidR="00996149" w:rsidRDefault="00996149">
      <w:pPr>
        <w:pStyle w:val="Standard"/>
        <w:jc w:val="both"/>
        <w:rPr>
          <w:b/>
          <w:color w:val="000000"/>
          <w:sz w:val="20"/>
          <w:szCs w:val="20"/>
          <w:u w:val="single"/>
          <w:shd w:val="clear" w:color="auto" w:fill="FFFF00"/>
        </w:rPr>
      </w:pPr>
    </w:p>
    <w:p w:rsidR="00996149" w:rsidRDefault="00DA4C36">
      <w:pPr>
        <w:pStyle w:val="Standard"/>
        <w:jc w:val="both"/>
      </w:pPr>
      <w:r>
        <w:rPr>
          <w:color w:val="000000"/>
          <w:szCs w:val="32"/>
        </w:rPr>
        <w:t>Le plan national de mobilisation contre les addictions 2018-2022</w:t>
      </w:r>
      <w:r>
        <w:rPr>
          <w:color w:val="6666FF"/>
          <w:szCs w:val="32"/>
          <w:vertAlign w:val="superscript"/>
        </w:rPr>
        <w:t>1</w:t>
      </w:r>
      <w:r>
        <w:rPr>
          <w:color w:val="000000"/>
          <w:szCs w:val="32"/>
        </w:rPr>
        <w:t xml:space="preserve"> a fixé les orientations de cette </w:t>
      </w:r>
      <w:r>
        <w:rPr>
          <w:color w:val="000000"/>
        </w:rPr>
        <w:t>politique publique.</w:t>
      </w:r>
    </w:p>
    <w:p w:rsidR="00996149" w:rsidRDefault="00996149">
      <w:pPr>
        <w:pStyle w:val="Standard"/>
        <w:jc w:val="both"/>
        <w:rPr>
          <w:color w:val="000000"/>
          <w:sz w:val="20"/>
          <w:szCs w:val="20"/>
        </w:rPr>
      </w:pPr>
    </w:p>
    <w:p w:rsidR="00996149" w:rsidRDefault="00DA4C36">
      <w:pPr>
        <w:pStyle w:val="Standard"/>
        <w:jc w:val="both"/>
        <w:rPr>
          <w:color w:val="000000"/>
        </w:rPr>
      </w:pPr>
      <w:r>
        <w:rPr>
          <w:color w:val="000000"/>
        </w:rPr>
        <w:t xml:space="preserve">Il retient 6 axes, 19 priorités et plus de 200 mesures faisant suite à une large concertation qui a associé </w:t>
      </w:r>
      <w:r>
        <w:rPr>
          <w:color w:val="000000"/>
        </w:rPr>
        <w:t>les ministères, leurs opérateurs (agences sanitaires et agences régionales de santé), la Caisse nationale de l'assurance maladie (CNAM) et la Caisse nationale des allocations familiales (CNAF), les associations représentant les communes (Association des ma</w:t>
      </w:r>
      <w:r>
        <w:rPr>
          <w:color w:val="000000"/>
        </w:rPr>
        <w:t>ires de France, France Urbaine, Union nationale des centres communaux d’action sociale) et les départements (Association des départements de France), les professionnels, associations et intervenants spécialistes de l’addictologie ou de la réduction des ris</w:t>
      </w:r>
      <w:r>
        <w:rPr>
          <w:color w:val="000000"/>
        </w:rPr>
        <w:t>ques, mais aussi des représentants du secteur économique de la production d’alcool, de la restauration et de la distribution.</w:t>
      </w:r>
    </w:p>
    <w:p w:rsidR="00996149" w:rsidRDefault="00996149">
      <w:pPr>
        <w:pStyle w:val="Standard"/>
        <w:rPr>
          <w:color w:val="000000"/>
          <w:sz w:val="20"/>
          <w:szCs w:val="20"/>
        </w:rPr>
      </w:pPr>
    </w:p>
    <w:p w:rsidR="00996149" w:rsidRDefault="00DA4C36">
      <w:pPr>
        <w:pStyle w:val="Standard"/>
      </w:pPr>
      <w:r>
        <w:rPr>
          <w:b/>
          <w:color w:val="000000"/>
          <w:u w:val="single"/>
        </w:rPr>
        <w:t>Le plan national 2018-2022 s</w:t>
      </w:r>
      <w:r>
        <w:rPr>
          <w:b/>
          <w:u w:val="single"/>
        </w:rPr>
        <w:t xml:space="preserve">’articule autour de six grands défis </w:t>
      </w:r>
      <w:r>
        <w:rPr>
          <w:rFonts w:ascii="TimesNewRomanPS-BoldMT" w:hAnsi="TimesNewRomanPS-BoldMT"/>
          <w:b/>
        </w:rPr>
        <w:t>:</w:t>
      </w:r>
    </w:p>
    <w:p w:rsidR="00996149" w:rsidRDefault="00996149">
      <w:pPr>
        <w:pStyle w:val="Standard"/>
        <w:rPr>
          <w:b/>
          <w:sz w:val="20"/>
          <w:szCs w:val="20"/>
        </w:rPr>
      </w:pPr>
    </w:p>
    <w:p w:rsidR="00996149" w:rsidRDefault="00DA4C36">
      <w:pPr>
        <w:pStyle w:val="Standard"/>
      </w:pPr>
      <w:r>
        <w:rPr>
          <w:rFonts w:ascii="TimesNewRomanPSMT" w:hAnsi="TimesNewRomanPSMT"/>
          <w:color w:val="000000"/>
        </w:rPr>
        <w:tab/>
      </w:r>
      <w:r>
        <w:rPr>
          <w:rFonts w:ascii="Wingdings" w:eastAsia="Wingdings" w:hAnsi="Wingdings" w:cs="Wingdings"/>
          <w:color w:val="000000"/>
        </w:rPr>
        <w:t></w:t>
      </w:r>
      <w:r>
        <w:rPr>
          <w:rFonts w:ascii="TimesNewRomanPSMT" w:hAnsi="TimesNewRomanPSMT"/>
          <w:color w:val="000000"/>
        </w:rPr>
        <w:t xml:space="preserve">    </w:t>
      </w:r>
      <w:r>
        <w:rPr>
          <w:color w:val="000000"/>
        </w:rPr>
        <w:t xml:space="preserve">Protéger </w:t>
      </w:r>
      <w:proofErr w:type="spellStart"/>
      <w:r>
        <w:rPr>
          <w:color w:val="000000"/>
        </w:rPr>
        <w:t>des</w:t>
      </w:r>
      <w:proofErr w:type="spellEnd"/>
      <w:r>
        <w:rPr>
          <w:color w:val="000000"/>
        </w:rPr>
        <w:t xml:space="preserve"> le plus jeune </w:t>
      </w:r>
      <w:proofErr w:type="spellStart"/>
      <w:r>
        <w:rPr>
          <w:color w:val="000000"/>
        </w:rPr>
        <w:t>age</w:t>
      </w:r>
      <w:proofErr w:type="spellEnd"/>
    </w:p>
    <w:p w:rsidR="00996149" w:rsidRDefault="00DA4C36">
      <w:pPr>
        <w:pStyle w:val="Standard"/>
      </w:pPr>
      <w:r>
        <w:rPr>
          <w:rFonts w:ascii="TimesNewRomanPSMT" w:hAnsi="TimesNewRomanPSMT"/>
          <w:color w:val="000000"/>
        </w:rPr>
        <w:tab/>
      </w:r>
      <w:r>
        <w:rPr>
          <w:rFonts w:ascii="Wingdings" w:eastAsia="Wingdings" w:hAnsi="Wingdings" w:cs="Wingdings"/>
          <w:color w:val="000000"/>
        </w:rPr>
        <w:t></w:t>
      </w:r>
      <w:r>
        <w:rPr>
          <w:rFonts w:ascii="Wingdings" w:eastAsia="Wingdings" w:hAnsi="Wingdings" w:cs="Wingdings"/>
          <w:color w:val="000000"/>
        </w:rPr>
        <w:t></w:t>
      </w:r>
      <w:r>
        <w:rPr>
          <w:color w:val="000000"/>
        </w:rPr>
        <w:t>Mieux répondre aux conséquences des addictions pour les citoyens et la société</w:t>
      </w:r>
    </w:p>
    <w:p w:rsidR="00996149" w:rsidRDefault="00DA4C36">
      <w:pPr>
        <w:pStyle w:val="Standard"/>
      </w:pPr>
      <w:r>
        <w:rPr>
          <w:rFonts w:ascii="Wingdings" w:eastAsia="Wingdings" w:hAnsi="Wingdings" w:cs="Wingdings"/>
          <w:color w:val="000000"/>
        </w:rPr>
        <w:tab/>
      </w:r>
      <w:r>
        <w:rPr>
          <w:rFonts w:ascii="Wingdings" w:eastAsia="Wingdings" w:hAnsi="Wingdings" w:cs="Wingdings"/>
          <w:color w:val="000000"/>
        </w:rPr>
        <w:t></w:t>
      </w:r>
      <w:r>
        <w:rPr>
          <w:rFonts w:ascii="Wingdings" w:eastAsia="Wingdings" w:hAnsi="Wingdings" w:cs="Wingdings"/>
          <w:color w:val="000000"/>
        </w:rPr>
        <w:t></w:t>
      </w:r>
      <w:r>
        <w:rPr>
          <w:color w:val="000000"/>
        </w:rPr>
        <w:t>Améliorer l’efficacité de la lutte contre le trafic</w:t>
      </w:r>
    </w:p>
    <w:p w:rsidR="00996149" w:rsidRDefault="00DA4C36">
      <w:pPr>
        <w:pStyle w:val="Standard"/>
      </w:pPr>
      <w:r>
        <w:rPr>
          <w:rFonts w:ascii="Wingdings" w:eastAsia="Wingdings" w:hAnsi="Wingdings" w:cs="Wingdings"/>
          <w:color w:val="000000"/>
        </w:rPr>
        <w:tab/>
      </w:r>
      <w:r>
        <w:rPr>
          <w:rFonts w:ascii="Wingdings" w:eastAsia="Wingdings" w:hAnsi="Wingdings" w:cs="Wingdings"/>
          <w:color w:val="000000"/>
        </w:rPr>
        <w:t></w:t>
      </w:r>
      <w:r>
        <w:rPr>
          <w:rFonts w:ascii="Wingdings" w:eastAsia="Wingdings" w:hAnsi="Wingdings" w:cs="Wingdings"/>
          <w:color w:val="000000"/>
        </w:rPr>
        <w:t></w:t>
      </w:r>
      <w:r>
        <w:rPr>
          <w:color w:val="000000"/>
        </w:rPr>
        <w:t>Renforcer les connaissances et favoriser leur diffusion</w:t>
      </w:r>
    </w:p>
    <w:p w:rsidR="00996149" w:rsidRDefault="00DA4C36">
      <w:pPr>
        <w:pStyle w:val="Standard"/>
      </w:pPr>
      <w:r>
        <w:rPr>
          <w:rFonts w:ascii="Wingdings" w:eastAsia="Wingdings" w:hAnsi="Wingdings" w:cs="Wingdings"/>
          <w:color w:val="000000"/>
        </w:rPr>
        <w:tab/>
      </w:r>
      <w:r>
        <w:rPr>
          <w:rFonts w:ascii="Wingdings" w:eastAsia="Wingdings" w:hAnsi="Wingdings" w:cs="Wingdings"/>
          <w:color w:val="000000"/>
        </w:rPr>
        <w:t></w:t>
      </w:r>
      <w:r>
        <w:rPr>
          <w:rFonts w:ascii="Wingdings" w:eastAsia="Wingdings" w:hAnsi="Wingdings" w:cs="Wingdings"/>
          <w:color w:val="000000"/>
        </w:rPr>
        <w:t></w:t>
      </w:r>
      <w:r>
        <w:rPr>
          <w:color w:val="000000"/>
        </w:rPr>
        <w:t>Renforcer la coopérati</w:t>
      </w:r>
      <w:r>
        <w:rPr>
          <w:color w:val="000000"/>
        </w:rPr>
        <w:t>on internationale</w:t>
      </w:r>
    </w:p>
    <w:p w:rsidR="00996149" w:rsidRDefault="00DA4C36">
      <w:pPr>
        <w:pStyle w:val="Standard"/>
        <w:rPr>
          <w:color w:val="000000"/>
          <w:sz w:val="32"/>
          <w:szCs w:val="32"/>
        </w:rPr>
      </w:pPr>
      <w:r>
        <w:rPr>
          <w:rFonts w:ascii="Wingdings" w:eastAsia="Wingdings" w:hAnsi="Wingdings" w:cs="Wingdings"/>
          <w:color w:val="000000"/>
          <w:szCs w:val="32"/>
        </w:rPr>
        <w:tab/>
      </w:r>
      <w:r>
        <w:rPr>
          <w:rFonts w:ascii="Wingdings" w:eastAsia="Wingdings" w:hAnsi="Wingdings" w:cs="Wingdings"/>
          <w:color w:val="000000"/>
          <w:szCs w:val="32"/>
        </w:rPr>
        <w:t></w:t>
      </w:r>
      <w:r>
        <w:rPr>
          <w:rFonts w:ascii="Wingdings" w:eastAsia="Wingdings" w:hAnsi="Wingdings" w:cs="Wingdings"/>
          <w:color w:val="000000"/>
          <w:szCs w:val="32"/>
        </w:rPr>
        <w:t></w:t>
      </w:r>
      <w:r>
        <w:rPr>
          <w:color w:val="000000"/>
          <w:szCs w:val="32"/>
        </w:rPr>
        <w:t>Créer les conditions de l’efficacité de l’action publique sur l’ensemble du territoire</w:t>
      </w:r>
    </w:p>
    <w:p w:rsidR="00996149" w:rsidRDefault="00996149">
      <w:pPr>
        <w:pStyle w:val="Standard"/>
        <w:rPr>
          <w:color w:val="000000"/>
          <w:sz w:val="20"/>
          <w:szCs w:val="20"/>
        </w:rPr>
      </w:pPr>
    </w:p>
    <w:p w:rsidR="00996149" w:rsidRDefault="00DA4C36">
      <w:pPr>
        <w:pStyle w:val="Standard"/>
        <w:jc w:val="both"/>
      </w:pPr>
      <w:r>
        <w:rPr>
          <w:color w:val="000000"/>
          <w:szCs w:val="32"/>
        </w:rPr>
        <w:t xml:space="preserve">Il apparaît aujourd’hui nécessaire de renforcer une action territoriale coordonnée entre les </w:t>
      </w:r>
      <w:r>
        <w:t>institutions, les professionnels et les associations p</w:t>
      </w:r>
      <w:r>
        <w:t>our améliorer la réponse face aux niveaux de consommation des substances psychoactives, à la fréquence des addictions avec ou sans substances et à leurs conséquences graves en termes d’</w:t>
      </w:r>
      <w:r>
        <w:rPr>
          <w:color w:val="000000"/>
        </w:rPr>
        <w:t>inclusion scolaire</w:t>
      </w:r>
      <w:r>
        <w:t xml:space="preserve"> et de réussite académique, d'insertion, de santé, de</w:t>
      </w:r>
      <w:r>
        <w:t xml:space="preserve"> sécurité et </w:t>
      </w:r>
      <w:r>
        <w:rPr>
          <w:color w:val="000000"/>
          <w:szCs w:val="32"/>
        </w:rPr>
        <w:t>de tranquillité publiques.</w:t>
      </w:r>
    </w:p>
    <w:p w:rsidR="00996149" w:rsidRDefault="00996149">
      <w:pPr>
        <w:pStyle w:val="Standard"/>
        <w:tabs>
          <w:tab w:val="left" w:pos="720"/>
        </w:tabs>
        <w:spacing w:line="276" w:lineRule="exact"/>
        <w:jc w:val="both"/>
        <w:rPr>
          <w:rFonts w:eastAsia="Times New Roman" w:cs="Times New Roman"/>
          <w:color w:val="000000"/>
        </w:rPr>
      </w:pPr>
    </w:p>
    <w:p w:rsidR="00996149" w:rsidRDefault="00DA4C36">
      <w:pPr>
        <w:pStyle w:val="Standard"/>
        <w:tabs>
          <w:tab w:val="left" w:pos="720"/>
        </w:tabs>
        <w:spacing w:line="276" w:lineRule="exact"/>
        <w:jc w:val="both"/>
        <w:rPr>
          <w:rFonts w:eastAsia="Times New Roman" w:cs="Times New Roman"/>
        </w:rPr>
      </w:pPr>
      <w:r>
        <w:rPr>
          <w:rFonts w:eastAsia="Times New Roman" w:cs="Times New Roman"/>
          <w:color w:val="000000"/>
        </w:rPr>
        <w:t xml:space="preserve">Le préfet de région </w:t>
      </w:r>
      <w:proofErr w:type="spellStart"/>
      <w:r>
        <w:rPr>
          <w:rFonts w:eastAsia="Times New Roman" w:cs="Times New Roman"/>
          <w:color w:val="000000"/>
        </w:rPr>
        <w:t>Provence-Alpes-Côtes-d’Azur</w:t>
      </w:r>
      <w:proofErr w:type="spellEnd"/>
      <w:r>
        <w:rPr>
          <w:rFonts w:eastAsia="Times New Roman" w:cs="Times New Roman"/>
          <w:color w:val="000000"/>
        </w:rPr>
        <w:t xml:space="preserve">, préfet des Bouches-du-Rhône, est le chef de projet régional MILD&amp;CA. Il assure la mise en cohérence et le pilotage de cette politique publique pour l’ensemble des </w:t>
      </w:r>
      <w:r>
        <w:rPr>
          <w:rFonts w:eastAsia="Times New Roman" w:cs="Times New Roman"/>
          <w:color w:val="000000"/>
        </w:rPr>
        <w:t xml:space="preserve">départements de la région Provence-Alpes-Côte </w:t>
      </w:r>
      <w:proofErr w:type="gramStart"/>
      <w:r>
        <w:rPr>
          <w:rFonts w:eastAsia="Times New Roman" w:cs="Times New Roman"/>
          <w:color w:val="000000"/>
        </w:rPr>
        <w:t>d’Azur .</w:t>
      </w:r>
      <w:proofErr w:type="gramEnd"/>
      <w:r>
        <w:rPr>
          <w:rFonts w:eastAsia="Times New Roman" w:cs="Times New Roman"/>
          <w:color w:val="000000"/>
        </w:rPr>
        <w:t xml:space="preserve"> Le chef de projet du département </w:t>
      </w:r>
      <w:r>
        <w:rPr>
          <w:rFonts w:eastAsia="Times New Roman" w:cs="Times New Roman"/>
        </w:rPr>
        <w:t>des Bouches-du-Rhône est la Préfète déléguée pour l’Égalité des Chances. Elle</w:t>
      </w:r>
      <w:r>
        <w:rPr>
          <w:rFonts w:eastAsia="Times New Roman" w:cs="Times New Roman"/>
          <w:color w:val="000000"/>
        </w:rPr>
        <w:t xml:space="preserve"> est en charge de la mise en œuvre de la programmation des actions sur son territoire.</w:t>
      </w:r>
    </w:p>
    <w:p w:rsidR="00996149" w:rsidRDefault="00996149">
      <w:pPr>
        <w:pStyle w:val="Standard"/>
        <w:jc w:val="both"/>
        <w:rPr>
          <w:color w:val="000000"/>
          <w:szCs w:val="32"/>
          <w:shd w:val="clear" w:color="auto" w:fill="FFFF00"/>
        </w:rPr>
      </w:pPr>
    </w:p>
    <w:p w:rsidR="00996149" w:rsidRDefault="00DA4C36">
      <w:pPr>
        <w:pStyle w:val="Standard"/>
        <w:tabs>
          <w:tab w:val="left" w:pos="720"/>
        </w:tabs>
        <w:spacing w:line="276" w:lineRule="exact"/>
        <w:jc w:val="both"/>
        <w:rPr>
          <w:rFonts w:ascii="TimesNewRomanPSMT" w:hAnsi="TimesNewRomanPSMT" w:hint="eastAsia"/>
          <w:color w:val="000000"/>
          <w:shd w:val="clear" w:color="auto" w:fill="FFFFFF"/>
        </w:rPr>
      </w:pPr>
      <w:bookmarkStart w:id="0" w:name="_GoBack"/>
      <w:r>
        <w:rPr>
          <w:rFonts w:ascii="TimesNewRomanPSMT" w:hAnsi="TimesNewRomanPSMT"/>
          <w:color w:val="000000"/>
          <w:shd w:val="clear" w:color="auto" w:fill="FFFFFF"/>
        </w:rPr>
        <w:t>Le</w:t>
      </w:r>
      <w:r>
        <w:rPr>
          <w:rFonts w:ascii="TimesNewRomanPSMT" w:hAnsi="TimesNewRomanPSMT"/>
          <w:color w:val="000000"/>
          <w:shd w:val="clear" w:color="auto" w:fill="FFFFFF"/>
        </w:rPr>
        <w:t xml:space="preserve"> </w:t>
      </w:r>
      <w:proofErr w:type="gramStart"/>
      <w:r>
        <w:rPr>
          <w:rFonts w:ascii="TimesNewRomanPSMT" w:hAnsi="TimesNewRomanPSMT"/>
          <w:color w:val="000000"/>
          <w:shd w:val="clear" w:color="auto" w:fill="FFFFFF"/>
        </w:rPr>
        <w:t>présent  appel</w:t>
      </w:r>
      <w:proofErr w:type="gramEnd"/>
      <w:r>
        <w:rPr>
          <w:rFonts w:ascii="TimesNewRomanPSMT" w:hAnsi="TimesNewRomanPSMT"/>
          <w:color w:val="000000"/>
          <w:shd w:val="clear" w:color="auto" w:fill="FFFFFF"/>
        </w:rPr>
        <w:t xml:space="preserve"> à projet concerne les actions qui ont vocation à être déployées sur le département des Bouches-du-Rhône. </w:t>
      </w:r>
      <w:r>
        <w:rPr>
          <w:color w:val="000000"/>
          <w:szCs w:val="32"/>
        </w:rPr>
        <w:t>Les projets en reconduction seront examinés et réévalués au regard des bilans et évaluations fournis. Les projets nouveaux devront s’ap</w:t>
      </w:r>
      <w:r>
        <w:rPr>
          <w:color w:val="000000"/>
          <w:szCs w:val="32"/>
        </w:rPr>
        <w:t xml:space="preserve">puyer sur des actions probantes. </w:t>
      </w:r>
      <w:r>
        <w:rPr>
          <w:rFonts w:ascii="TimesNewRomanPSMT" w:hAnsi="TimesNewRomanPSMT"/>
          <w:color w:val="000000"/>
          <w:shd w:val="clear" w:color="auto" w:fill="FFFFFF"/>
        </w:rPr>
        <w:t xml:space="preserve">L’ensemble </w:t>
      </w:r>
      <w:proofErr w:type="gramStart"/>
      <w:r>
        <w:rPr>
          <w:rFonts w:ascii="TimesNewRomanPSMT" w:hAnsi="TimesNewRomanPSMT"/>
          <w:color w:val="000000"/>
          <w:shd w:val="clear" w:color="auto" w:fill="FFFFFF"/>
        </w:rPr>
        <w:t>des</w:t>
      </w:r>
      <w:proofErr w:type="gramEnd"/>
      <w:r>
        <w:rPr>
          <w:rFonts w:ascii="TimesNewRomanPSMT" w:hAnsi="TimesNewRomanPSMT"/>
          <w:color w:val="000000"/>
          <w:shd w:val="clear" w:color="auto" w:fill="FFFFFF"/>
        </w:rPr>
        <w:t xml:space="preserve"> dossiers seront instruits dans le cadre d’un comité de pilotage départemental.</w:t>
      </w:r>
    </w:p>
    <w:bookmarkEnd w:id="0"/>
    <w:p w:rsidR="00996149" w:rsidRDefault="00996149">
      <w:pPr>
        <w:pStyle w:val="Standard"/>
        <w:tabs>
          <w:tab w:val="left" w:pos="720"/>
        </w:tabs>
        <w:spacing w:line="276" w:lineRule="exact"/>
        <w:jc w:val="both"/>
        <w:rPr>
          <w:rFonts w:ascii="TimesNewRomanPSMT" w:hAnsi="TimesNewRomanPSMT" w:hint="eastAsia"/>
          <w:color w:val="000000"/>
          <w:shd w:val="clear" w:color="auto" w:fill="FFFFFF"/>
        </w:rPr>
      </w:pPr>
    </w:p>
    <w:p w:rsidR="00996149" w:rsidRDefault="00DA4C36">
      <w:pPr>
        <w:pStyle w:val="Standard"/>
        <w:jc w:val="both"/>
        <w:rPr>
          <w:color w:val="FF00FF"/>
          <w:szCs w:val="32"/>
        </w:rPr>
      </w:pPr>
      <w:r>
        <w:rPr>
          <w:color w:val="000000"/>
          <w:szCs w:val="32"/>
        </w:rPr>
        <w:t>Les projets déposés devront contribuer à r</w:t>
      </w:r>
      <w:r>
        <w:rPr>
          <w:color w:val="000000"/>
          <w:u w:val="single"/>
        </w:rPr>
        <w:t>enforcer la prévention et la réduction des risques et des dommages dans la mobilisati</w:t>
      </w:r>
      <w:r>
        <w:rPr>
          <w:color w:val="000000"/>
          <w:u w:val="single"/>
        </w:rPr>
        <w:t>on contre les addictions, et s’inscrire dans les</w:t>
      </w:r>
      <w:r>
        <w:rPr>
          <w:color w:val="000000"/>
          <w:szCs w:val="32"/>
          <w:u w:val="single"/>
        </w:rPr>
        <w:t xml:space="preserve"> quatre axes prioritaires retenus ci-dessous pour le territoire des Bouches-du-Rhône au titre de </w:t>
      </w:r>
      <w:proofErr w:type="gramStart"/>
      <w:r>
        <w:rPr>
          <w:color w:val="000000"/>
          <w:szCs w:val="32"/>
          <w:u w:val="single"/>
        </w:rPr>
        <w:t>2019  :</w:t>
      </w:r>
      <w:proofErr w:type="gramEnd"/>
    </w:p>
    <w:p w:rsidR="00996149" w:rsidRDefault="00DA4C36">
      <w:pPr>
        <w:pStyle w:val="Standard"/>
        <w:jc w:val="both"/>
      </w:pPr>
      <w:proofErr w:type="spellStart"/>
      <w:proofErr w:type="gramStart"/>
      <w:r>
        <w:rPr>
          <w:rFonts w:ascii="TimesNewRomanPSMT" w:hAnsi="TimesNewRomanPSMT"/>
          <w:color w:val="FFFFFF"/>
          <w:sz w:val="32"/>
          <w:szCs w:val="32"/>
        </w:rPr>
        <w:t>révention</w:t>
      </w:r>
      <w:proofErr w:type="spellEnd"/>
      <w:proofErr w:type="gramEnd"/>
      <w:r>
        <w:rPr>
          <w:rFonts w:ascii="TimesNewRomanPSMT" w:hAnsi="TimesNewRomanPSMT"/>
          <w:color w:val="FFFFFF"/>
          <w:sz w:val="32"/>
          <w:szCs w:val="32"/>
        </w:rPr>
        <w:t xml:space="preserve"> et </w:t>
      </w:r>
      <w:r>
        <w:rPr>
          <w:rFonts w:ascii="TimesNewRomanPSMT" w:hAnsi="TimesNewRomanPSMT"/>
          <w:color w:val="FFFFFF"/>
          <w:sz w:val="18"/>
          <w:szCs w:val="18"/>
        </w:rPr>
        <w:t>agir sur la précocité des consommations</w:t>
      </w:r>
    </w:p>
    <w:p w:rsidR="00996149" w:rsidRDefault="00DA4C36">
      <w:pPr>
        <w:pStyle w:val="Standard"/>
      </w:pPr>
      <w:r>
        <w:rPr>
          <w:color w:val="0066CD"/>
        </w:rPr>
        <w:t>→ Axe prioritaire n°1 : A</w:t>
      </w:r>
      <w:r>
        <w:rPr>
          <w:color w:val="0066CD"/>
        </w:rPr>
        <w:t xml:space="preserve">ctions à destination du </w:t>
      </w:r>
      <w:r>
        <w:rPr>
          <w:color w:val="0066CD"/>
        </w:rPr>
        <w:t>public jeune</w:t>
      </w:r>
    </w:p>
    <w:p w:rsidR="00996149" w:rsidRDefault="00996149">
      <w:pPr>
        <w:pStyle w:val="Standard"/>
        <w:rPr>
          <w:color w:val="0066CD"/>
          <w:sz w:val="18"/>
          <w:szCs w:val="18"/>
        </w:rPr>
      </w:pPr>
    </w:p>
    <w:p w:rsidR="00996149" w:rsidRDefault="00DA4C36">
      <w:pPr>
        <w:pStyle w:val="Standard"/>
        <w:jc w:val="both"/>
      </w:pPr>
      <w:r>
        <w:rPr>
          <w:color w:val="000000"/>
        </w:rPr>
        <w:t xml:space="preserve">La consommation des jeunes est préoccupante sur le plan sanitaire et social mais également en </w:t>
      </w:r>
      <w:r>
        <w:rPr>
          <w:color w:val="000000"/>
        </w:rPr>
        <w:t xml:space="preserve">raison des comportements à risque qu’elle engendre, en particulier à l’adolescence. </w:t>
      </w:r>
      <w:r>
        <w:rPr>
          <w:color w:val="000000"/>
        </w:rPr>
        <w:t>La précocité des usages augmentant le risque d</w:t>
      </w:r>
      <w:r>
        <w:rPr>
          <w:color w:val="000000"/>
        </w:rPr>
        <w:t>’</w:t>
      </w:r>
      <w:r>
        <w:t xml:space="preserve">addiction </w:t>
      </w:r>
      <w:r>
        <w:t>ultérieur, la prévention doit être mise en œuvre</w:t>
      </w:r>
      <w:r>
        <w:t xml:space="preserve"> le plus tôt possible </w:t>
      </w:r>
      <w:r>
        <w:lastRenderedPageBreak/>
        <w:t>pour éviter l’initiation et/ou retarder l’âge de l’expérimentation.</w:t>
      </w:r>
    </w:p>
    <w:p w:rsidR="00996149" w:rsidRDefault="00DA4C36">
      <w:pPr>
        <w:pStyle w:val="Standard"/>
        <w:jc w:val="both"/>
      </w:pPr>
      <w:r>
        <w:t xml:space="preserve">A ce titre, les actions visant à prévenir les conduites addictives </w:t>
      </w:r>
      <w:r>
        <w:rPr>
          <w:color w:val="000000"/>
        </w:rPr>
        <w:t>(avec ou sans produit)</w:t>
      </w:r>
      <w:r>
        <w:t xml:space="preserve"> par le développement et le </w:t>
      </w:r>
      <w:r>
        <w:t xml:space="preserve">renforcement des compétences psychosociales des jeunes et de leur entourage seront prioritaires dans les Bouches-du-Rhône. </w:t>
      </w:r>
      <w:proofErr w:type="gramStart"/>
      <w:r>
        <w:t>Elles  pourront</w:t>
      </w:r>
      <w:proofErr w:type="gramEnd"/>
      <w:r>
        <w:t xml:space="preserve"> s'effectuer en milieu scolaire (en lien avec les autorités académiques) et hors milieu </w:t>
      </w:r>
      <w:r>
        <w:t>scolaire. De plus,</w:t>
      </w:r>
      <w:r>
        <w:rPr>
          <w:rFonts w:ascii="TimesNewRomanPSMT" w:hAnsi="TimesNewRomanPSMT"/>
        </w:rPr>
        <w:t xml:space="preserve"> des program</w:t>
      </w:r>
      <w:r>
        <w:rPr>
          <w:rFonts w:ascii="TimesNewRomanPSMT" w:hAnsi="TimesNewRomanPSMT"/>
        </w:rPr>
        <w:t>mes de soutien à la parentalité seront soutenus et encouragés</w:t>
      </w:r>
      <w:r>
        <w:t>.</w:t>
      </w:r>
    </w:p>
    <w:p w:rsidR="00996149" w:rsidRDefault="00996149">
      <w:pPr>
        <w:pStyle w:val="Standard"/>
        <w:jc w:val="both"/>
        <w:rPr>
          <w:sz w:val="18"/>
          <w:szCs w:val="18"/>
        </w:rPr>
      </w:pPr>
    </w:p>
    <w:p w:rsidR="00996149" w:rsidRDefault="00DA4C36">
      <w:pPr>
        <w:pStyle w:val="Standard"/>
        <w:jc w:val="both"/>
      </w:pPr>
      <w:r>
        <w:rPr>
          <w:color w:val="0066CD"/>
        </w:rPr>
        <w:t>→ Axe prioritaire n°2 : Actions à destination des personnes vulnérables</w:t>
      </w:r>
    </w:p>
    <w:p w:rsidR="00996149" w:rsidRDefault="00996149">
      <w:pPr>
        <w:pStyle w:val="Standard"/>
        <w:jc w:val="both"/>
        <w:rPr>
          <w:color w:val="0066CD"/>
        </w:rPr>
      </w:pPr>
    </w:p>
    <w:p w:rsidR="00996149" w:rsidRDefault="00DA4C36">
      <w:pPr>
        <w:pStyle w:val="Standard"/>
        <w:jc w:val="both"/>
      </w:pPr>
      <w:r>
        <w:rPr>
          <w:rFonts w:ascii="TimesNewRomanPSMT" w:hAnsi="TimesNewRomanPSMT"/>
          <w:color w:val="000000"/>
        </w:rPr>
        <w:t>Les actions à destination des populations vulnérables, et en particulier des personnes en errance, des travailleurs pau</w:t>
      </w:r>
      <w:r>
        <w:rPr>
          <w:rFonts w:ascii="TimesNewRomanPSMT" w:hAnsi="TimesNewRomanPSMT"/>
          <w:color w:val="000000"/>
        </w:rPr>
        <w:t xml:space="preserve">vres, des personnes précaires, des personnes éloignées de l'offre de soins, des personnes placées </w:t>
      </w:r>
      <w:proofErr w:type="spellStart"/>
      <w:r>
        <w:rPr>
          <w:rFonts w:ascii="TimesNewRomanPSMT" w:hAnsi="TimesNewRomanPSMT"/>
          <w:color w:val="000000"/>
        </w:rPr>
        <w:t>sous main</w:t>
      </w:r>
      <w:proofErr w:type="spellEnd"/>
      <w:r>
        <w:rPr>
          <w:rFonts w:ascii="TimesNewRomanPSMT" w:hAnsi="TimesNewRomanPSMT"/>
          <w:color w:val="000000"/>
        </w:rPr>
        <w:t xml:space="preserve"> de justice et des grands exclus, seront encouragées.</w:t>
      </w:r>
    </w:p>
    <w:p w:rsidR="00996149" w:rsidRDefault="00996149">
      <w:pPr>
        <w:pStyle w:val="Standard"/>
        <w:jc w:val="both"/>
        <w:rPr>
          <w:rFonts w:ascii="TimesNewRomanPSMT" w:hAnsi="TimesNewRomanPSMT" w:hint="eastAsia"/>
          <w:color w:val="000000"/>
        </w:rPr>
      </w:pPr>
    </w:p>
    <w:p w:rsidR="00996149" w:rsidRDefault="00DA4C36">
      <w:pPr>
        <w:pStyle w:val="Standard"/>
        <w:jc w:val="both"/>
      </w:pPr>
      <w:r>
        <w:rPr>
          <w:rFonts w:ascii="TimesNewRomanPSMT" w:hAnsi="TimesNewRomanPSMT"/>
          <w:color w:val="000000"/>
        </w:rPr>
        <w:t xml:space="preserve">La lutte contre les conduites addictives auprès de ces personnes s’inscrit notamment dans </w:t>
      </w:r>
      <w:r>
        <w:rPr>
          <w:rFonts w:ascii="TimesNewRomanPSMT" w:hAnsi="TimesNewRomanPSMT"/>
          <w:color w:val="000000"/>
        </w:rPr>
        <w:t xml:space="preserve">des </w:t>
      </w:r>
      <w:r>
        <w:rPr>
          <w:rFonts w:ascii="TimesNewRomanPSMT" w:hAnsi="TimesNewRomanPSMT"/>
          <w:color w:val="000000"/>
        </w:rPr>
        <w:t xml:space="preserve">actions reposant sur l'insertion par le travail et par les activités socio-culturelles, et </w:t>
      </w:r>
      <w:proofErr w:type="gramStart"/>
      <w:r>
        <w:rPr>
          <w:rFonts w:ascii="TimesNewRomanPSMT" w:hAnsi="TimesNewRomanPSMT"/>
          <w:color w:val="000000"/>
        </w:rPr>
        <w:t xml:space="preserve">favorisant  </w:t>
      </w:r>
      <w:r>
        <w:rPr>
          <w:color w:val="000000"/>
        </w:rPr>
        <w:t>l’accès</w:t>
      </w:r>
      <w:proofErr w:type="gramEnd"/>
      <w:r>
        <w:rPr>
          <w:color w:val="000000"/>
        </w:rPr>
        <w:t xml:space="preserve"> aux droits et aux soins</w:t>
      </w:r>
      <w:r>
        <w:rPr>
          <w:rFonts w:ascii="TimesNewRomanPSMT" w:hAnsi="TimesNewRomanPSMT"/>
          <w:color w:val="000000"/>
        </w:rPr>
        <w:t>.</w:t>
      </w:r>
    </w:p>
    <w:p w:rsidR="00996149" w:rsidRDefault="00996149">
      <w:pPr>
        <w:pStyle w:val="Standard"/>
        <w:jc w:val="both"/>
        <w:rPr>
          <w:rFonts w:ascii="TimesNewRomanPSMT" w:hAnsi="TimesNewRomanPSMT" w:hint="eastAsia"/>
          <w:color w:val="000000"/>
        </w:rPr>
      </w:pPr>
    </w:p>
    <w:p w:rsidR="00996149" w:rsidRDefault="00DA4C36">
      <w:pPr>
        <w:pStyle w:val="Standard"/>
        <w:jc w:val="both"/>
        <w:rPr>
          <w:rFonts w:ascii="TimesNewRomanPSMT" w:hAnsi="TimesNewRomanPSMT" w:hint="eastAsia"/>
          <w:color w:val="0066CD"/>
        </w:rPr>
      </w:pPr>
      <w:r>
        <w:rPr>
          <w:rFonts w:ascii="TimesNewRomanPSMT" w:hAnsi="TimesNewRomanPSMT"/>
          <w:color w:val="0066CD"/>
        </w:rPr>
        <w:t>→ Axe prioritaire n°3 : Actions en santé festive</w:t>
      </w:r>
    </w:p>
    <w:p w:rsidR="00996149" w:rsidRDefault="00996149">
      <w:pPr>
        <w:pStyle w:val="Standard"/>
        <w:jc w:val="both"/>
        <w:rPr>
          <w:rFonts w:ascii="TimesNewRomanPSMT" w:hAnsi="TimesNewRomanPSMT" w:hint="eastAsia"/>
          <w:color w:val="000000"/>
        </w:rPr>
      </w:pPr>
    </w:p>
    <w:p w:rsidR="00996149" w:rsidRDefault="00DA4C36">
      <w:pPr>
        <w:pStyle w:val="Standard"/>
        <w:jc w:val="both"/>
        <w:rPr>
          <w:color w:val="000000"/>
        </w:rPr>
      </w:pPr>
      <w:r>
        <w:rPr>
          <w:rFonts w:ascii="TimesNewRomanPSMT" w:hAnsi="TimesNewRomanPSMT"/>
          <w:color w:val="000000"/>
        </w:rPr>
        <w:t xml:space="preserve">Il s’agit d’accompagner la vie nocturne, la prévention et la </w:t>
      </w:r>
      <w:r>
        <w:rPr>
          <w:rFonts w:ascii="TimesNewRomanPSMT" w:hAnsi="TimesNewRomanPSMT"/>
          <w:color w:val="000000"/>
        </w:rPr>
        <w:t xml:space="preserve">réduction des risques et des dommages en milieu festif dans une démarche d’aller vers » à la rencontre des publics, en intervenant au cœur des événements festifs tels </w:t>
      </w:r>
      <w:proofErr w:type="gramStart"/>
      <w:r>
        <w:rPr>
          <w:rFonts w:ascii="TimesNewRomanPSMT" w:hAnsi="TimesNewRomanPSMT"/>
          <w:color w:val="000000"/>
        </w:rPr>
        <w:t xml:space="preserve">que </w:t>
      </w:r>
      <w:r>
        <w:rPr>
          <w:rFonts w:ascii="TimesNewRomanPSMT" w:hAnsi="TimesNewRomanPSMT"/>
          <w:color w:val="000000"/>
        </w:rPr>
        <w:t xml:space="preserve"> concerts</w:t>
      </w:r>
      <w:proofErr w:type="gramEnd"/>
      <w:r>
        <w:rPr>
          <w:rFonts w:ascii="TimesNewRomanPSMT" w:hAnsi="TimesNewRomanPSMT"/>
          <w:color w:val="000000"/>
        </w:rPr>
        <w:t xml:space="preserve"> et festivals, soirées étudiantes, soirées du milieu festif saisonnier, etc.</w:t>
      </w:r>
    </w:p>
    <w:p w:rsidR="00996149" w:rsidRDefault="00996149">
      <w:pPr>
        <w:pStyle w:val="Standard"/>
        <w:jc w:val="both"/>
        <w:rPr>
          <w:rFonts w:ascii="TimesNewRomanPSMT" w:hAnsi="TimesNewRomanPSMT" w:hint="eastAsia"/>
          <w:color w:val="000000"/>
        </w:rPr>
      </w:pPr>
    </w:p>
    <w:p w:rsidR="00996149" w:rsidRDefault="00DA4C36">
      <w:pPr>
        <w:pStyle w:val="Standard"/>
        <w:tabs>
          <w:tab w:val="left" w:pos="720"/>
        </w:tabs>
        <w:spacing w:after="200" w:line="276" w:lineRule="exact"/>
        <w:jc w:val="both"/>
        <w:rPr>
          <w:rFonts w:eastAsia="Times New Roman" w:cs="Times New Roman"/>
          <w:color w:val="00000A"/>
          <w:shd w:val="clear" w:color="auto" w:fill="FFFFFF"/>
        </w:rPr>
      </w:pPr>
      <w:r>
        <w:rPr>
          <w:rFonts w:ascii="TimesNewRomanPSMT" w:hAnsi="TimesNewRomanPSMT"/>
          <w:color w:val="000000"/>
          <w:shd w:val="clear" w:color="auto" w:fill="FFFFFF"/>
        </w:rPr>
        <w:t>Seront priorisés les projets permettant de mieux accompagner la vie nocturne festive et de favoriser au plus près des territoires une gestion collective des risques sanitaires et des troubles à l'ordre public associés, tant en milieu rural (milieux fest</w:t>
      </w:r>
      <w:r>
        <w:rPr>
          <w:rFonts w:ascii="TimesNewRomanPSMT" w:hAnsi="TimesNewRomanPSMT"/>
          <w:color w:val="000000"/>
          <w:shd w:val="clear" w:color="auto" w:fill="FFFFFF"/>
        </w:rPr>
        <w:t>ifs alternatifs type free party) qu'en milieu urbain (promotion des démarches type charte de la vie nocturne, prévention itinérante, partenariat avec les SIUMPSS et bureaux des élèves dans l’enseignement supérieur, etc.).</w:t>
      </w:r>
    </w:p>
    <w:p w:rsidR="00996149" w:rsidRDefault="00DA4C36">
      <w:pPr>
        <w:pStyle w:val="Standard"/>
        <w:tabs>
          <w:tab w:val="left" w:pos="720"/>
        </w:tabs>
        <w:spacing w:after="200" w:line="276" w:lineRule="exact"/>
        <w:jc w:val="both"/>
        <w:rPr>
          <w:rFonts w:ascii="TimesNewRomanPSMT" w:hAnsi="TimesNewRomanPSMT" w:hint="eastAsia"/>
          <w:color w:val="0066CD"/>
          <w:shd w:val="clear" w:color="auto" w:fill="FFFFFF"/>
        </w:rPr>
      </w:pPr>
      <w:r>
        <w:rPr>
          <w:rFonts w:ascii="TimesNewRomanPSMT" w:hAnsi="TimesNewRomanPSMT"/>
          <w:color w:val="0066CD"/>
          <w:shd w:val="clear" w:color="auto" w:fill="FFFFFF"/>
        </w:rPr>
        <w:t xml:space="preserve">→ Axe prioritaire n°4 : Actions à </w:t>
      </w:r>
      <w:r>
        <w:rPr>
          <w:rFonts w:ascii="TimesNewRomanPSMT" w:hAnsi="TimesNewRomanPSMT"/>
          <w:color w:val="0066CD"/>
          <w:shd w:val="clear" w:color="auto" w:fill="FFFFFF"/>
        </w:rPr>
        <w:t>destination des professionnels de première ligne</w:t>
      </w:r>
    </w:p>
    <w:p w:rsidR="00996149" w:rsidRDefault="00DA4C36">
      <w:pPr>
        <w:pStyle w:val="Standard"/>
        <w:tabs>
          <w:tab w:val="left" w:pos="720"/>
        </w:tabs>
        <w:spacing w:after="200" w:line="276" w:lineRule="exact"/>
        <w:jc w:val="both"/>
        <w:rPr>
          <w:rFonts w:eastAsia="Times New Roman" w:cs="Times New Roman"/>
          <w:color w:val="00000A"/>
          <w:shd w:val="clear" w:color="auto" w:fill="FFFFFF"/>
        </w:rPr>
      </w:pPr>
      <w:r>
        <w:rPr>
          <w:rFonts w:ascii="TimesNewRomanPSMT" w:hAnsi="TimesNewRomanPSMT"/>
          <w:color w:val="000000"/>
          <w:shd w:val="clear" w:color="auto" w:fill="FFFFFF"/>
        </w:rPr>
        <w:t>Il s'agit de favoriser l’inscription locale de la mobilisation contre les addictions, en promouvant le repérage précoce et l’orientation des personnes présentant une conduite addictive par tous les professio</w:t>
      </w:r>
      <w:r>
        <w:rPr>
          <w:rFonts w:ascii="TimesNewRomanPSMT" w:hAnsi="TimesNewRomanPSMT"/>
          <w:color w:val="000000"/>
          <w:shd w:val="clear" w:color="auto" w:fill="FFFFFF"/>
        </w:rPr>
        <w:t>nnels à leur contact. A ce titre, les</w:t>
      </w:r>
      <w:r>
        <w:rPr>
          <w:rFonts w:ascii="TimesNewRomanPSMT" w:hAnsi="TimesNewRomanPSMT"/>
          <w:color w:val="FF00FF"/>
          <w:shd w:val="clear" w:color="auto" w:fill="FFFFFF"/>
        </w:rPr>
        <w:t xml:space="preserve"> </w:t>
      </w:r>
      <w:r>
        <w:rPr>
          <w:rFonts w:ascii="TimesNewRomanPSMT" w:hAnsi="TimesNewRomanPSMT"/>
          <w:color w:val="000000"/>
          <w:shd w:val="clear" w:color="auto" w:fill="FFFFFF"/>
        </w:rPr>
        <w:t xml:space="preserve">actions de formation visant à renforcer les compétences des adultes encadrants et professionnels (éducatif, sportif, sanitaire et social, </w:t>
      </w:r>
      <w:proofErr w:type="spellStart"/>
      <w:r>
        <w:rPr>
          <w:rFonts w:ascii="TimesNewRomanPSMT" w:hAnsi="TimesNewRomanPSMT"/>
          <w:color w:val="000000"/>
          <w:shd w:val="clear" w:color="auto" w:fill="FFFFFF"/>
        </w:rPr>
        <w:t>etc</w:t>
      </w:r>
      <w:proofErr w:type="spellEnd"/>
      <w:r>
        <w:rPr>
          <w:rFonts w:ascii="TimesNewRomanPSMT" w:hAnsi="TimesNewRomanPSMT"/>
          <w:color w:val="000000"/>
          <w:shd w:val="clear" w:color="auto" w:fill="FFFFFF"/>
        </w:rPr>
        <w:t>) au contact de ces publics seront priorisées.</w:t>
      </w:r>
    </w:p>
    <w:p w:rsidR="00996149" w:rsidRDefault="00DA4C36">
      <w:pPr>
        <w:pStyle w:val="Standard"/>
      </w:pPr>
      <w:r>
        <w:rPr>
          <w:rFonts w:ascii="TimesNewRomanPSMT" w:hAnsi="TimesNewRomanPSMT"/>
        </w:rPr>
        <w:t>De plus, les projets doivent d</w:t>
      </w:r>
      <w:r>
        <w:rPr>
          <w:rFonts w:ascii="TimesNewRomanPSMT" w:hAnsi="TimesNewRomanPSMT"/>
        </w:rPr>
        <w:t xml:space="preserve">évelopper les partenariats entre ces professionnels de première ligne et ceux des dispositifs </w:t>
      </w:r>
      <w:r>
        <w:rPr>
          <w:rFonts w:ascii="TimesNewRomanPSMT" w:eastAsia="Times New Roman" w:hAnsi="TimesNewRomanPSMT" w:cs="Times New Roman"/>
          <w:color w:val="000000"/>
          <w:shd w:val="clear" w:color="auto" w:fill="FFFFFF"/>
        </w:rPr>
        <w:t>spécialisés en addictologie (CJC, CSAPA, CAARUD, ELSA)</w:t>
      </w:r>
      <w:r>
        <w:rPr>
          <w:rFonts w:ascii="TimesNewRomanPSMT" w:eastAsia="Times New Roman" w:hAnsi="TimesNewRomanPSMT" w:cs="Times New Roman"/>
          <w:color w:val="000000"/>
          <w:shd w:val="clear" w:color="auto" w:fill="FFFFFF"/>
          <w:vertAlign w:val="superscript"/>
        </w:rPr>
        <w:t>2</w:t>
      </w:r>
      <w:r>
        <w:rPr>
          <w:rFonts w:ascii="TimesNewRomanPSMT" w:eastAsia="Times New Roman" w:hAnsi="TimesNewRomanPSMT" w:cs="Times New Roman"/>
          <w:color w:val="000000"/>
          <w:shd w:val="clear" w:color="auto" w:fill="FFFFFF"/>
        </w:rPr>
        <w:t>.</w:t>
      </w:r>
    </w:p>
    <w:p w:rsidR="00996149" w:rsidRDefault="00996149">
      <w:pPr>
        <w:pStyle w:val="Standard"/>
        <w:rPr>
          <w:rFonts w:ascii="TimesNewRomanPSMT" w:eastAsia="Times New Roman" w:hAnsi="TimesNewRomanPSMT" w:cs="Times New Roman"/>
          <w:color w:val="000000"/>
          <w:shd w:val="clear" w:color="auto" w:fill="FFFFFF"/>
        </w:rPr>
      </w:pPr>
    </w:p>
    <w:p w:rsidR="00996149" w:rsidRDefault="00DA4C36">
      <w:pPr>
        <w:pStyle w:val="Standard"/>
        <w:tabs>
          <w:tab w:val="left" w:pos="720"/>
        </w:tabs>
        <w:spacing w:line="276" w:lineRule="exact"/>
        <w:jc w:val="both"/>
        <w:rPr>
          <w:rFonts w:eastAsia="Times New Roman" w:cs="Times New Roman"/>
          <w:b/>
          <w:color w:val="000000"/>
          <w:u w:val="single"/>
          <w:shd w:val="clear" w:color="auto" w:fill="FFFFFF"/>
        </w:rPr>
      </w:pPr>
      <w:r>
        <w:rPr>
          <w:rFonts w:eastAsia="Times New Roman" w:cs="Times New Roman"/>
          <w:b/>
          <w:color w:val="000000"/>
          <w:u w:val="single"/>
          <w:shd w:val="clear" w:color="auto" w:fill="FFFFFF"/>
        </w:rPr>
        <w:t>LE COFINANCEMENT MILDECA/FIPD</w:t>
      </w:r>
    </w:p>
    <w:p w:rsidR="00996149" w:rsidRDefault="00996149">
      <w:pPr>
        <w:pStyle w:val="Standard"/>
        <w:tabs>
          <w:tab w:val="left" w:pos="720"/>
        </w:tabs>
        <w:spacing w:line="276" w:lineRule="exact"/>
        <w:jc w:val="both"/>
        <w:rPr>
          <w:rFonts w:eastAsia="Times New Roman" w:cs="Times New Roman"/>
          <w:b/>
          <w:color w:val="000000"/>
          <w:u w:val="single"/>
          <w:shd w:val="clear" w:color="auto" w:fill="FFFFFF"/>
        </w:rPr>
      </w:pPr>
    </w:p>
    <w:p w:rsidR="00996149" w:rsidRDefault="00DA4C36">
      <w:pPr>
        <w:pStyle w:val="Standard"/>
        <w:jc w:val="both"/>
        <w:rPr>
          <w:rFonts w:ascii="TimesNewRomanPSMT" w:hAnsi="TimesNewRomanPSMT" w:hint="eastAsia"/>
          <w:color w:val="000000"/>
        </w:rPr>
      </w:pPr>
      <w:r>
        <w:rPr>
          <w:rFonts w:ascii="TimesNewRomanPSMT" w:hAnsi="TimesNewRomanPSMT"/>
          <w:color w:val="000000"/>
        </w:rPr>
        <w:t>Compte tenu de l’influence des comportements addictifs sur la délinquance</w:t>
      </w:r>
      <w:r>
        <w:rPr>
          <w:rFonts w:ascii="TimesNewRomanPSMT" w:hAnsi="TimesNewRomanPSMT"/>
          <w:color w:val="000000"/>
        </w:rPr>
        <w:t xml:space="preserve"> et la récidive, un cofinancement FIPDR/MILD&amp;CA est possible, pour des actions associant ces deux politiques publiques. L’objectif est de répondre à un double enjeu de sécurité publique et de prévention de la délinquance, de la récidive et/ou de la tranqui</w:t>
      </w:r>
      <w:r>
        <w:rPr>
          <w:rFonts w:ascii="TimesNewRomanPSMT" w:hAnsi="TimesNewRomanPSMT"/>
          <w:color w:val="000000"/>
        </w:rPr>
        <w:t>llité publique.</w:t>
      </w:r>
    </w:p>
    <w:p w:rsidR="00996149" w:rsidRDefault="00996149">
      <w:pPr>
        <w:pStyle w:val="Standard"/>
        <w:jc w:val="both"/>
        <w:rPr>
          <w:rFonts w:ascii="TimesNewRomanPSMT" w:hAnsi="TimesNewRomanPSMT" w:hint="eastAsia"/>
          <w:color w:val="000000"/>
        </w:rPr>
      </w:pPr>
    </w:p>
    <w:p w:rsidR="00996149" w:rsidRDefault="00DA4C36">
      <w:pPr>
        <w:pStyle w:val="Standard"/>
        <w:jc w:val="both"/>
      </w:pPr>
      <w:r>
        <w:rPr>
          <w:rFonts w:ascii="TimesNewRomanPSMT" w:hAnsi="TimesNewRomanPSMT"/>
          <w:color w:val="000000"/>
        </w:rPr>
        <w:t>Seront prioritaires les actions axées principalement sur :</w:t>
      </w:r>
    </w:p>
    <w:p w:rsidR="00996149" w:rsidRDefault="00996149">
      <w:pPr>
        <w:pStyle w:val="Standard"/>
        <w:jc w:val="both"/>
        <w:rPr>
          <w:rFonts w:ascii="TimesNewRomanPSMT" w:hAnsi="TimesNewRomanPSMT" w:hint="eastAsia"/>
          <w:color w:val="000000"/>
        </w:rPr>
      </w:pPr>
    </w:p>
    <w:p w:rsidR="00996149" w:rsidRDefault="00DA4C36">
      <w:pPr>
        <w:pStyle w:val="Standard"/>
      </w:pPr>
      <w:r>
        <w:rPr>
          <w:rFonts w:ascii="TimesNewRomanPSMT" w:hAnsi="TimesNewRomanPSMT"/>
          <w:color w:val="000000"/>
        </w:rPr>
        <w:tab/>
      </w:r>
      <w:r>
        <w:rPr>
          <w:rFonts w:ascii="Wingdings" w:eastAsia="Wingdings" w:hAnsi="Wingdings" w:cs="Wingdings"/>
          <w:color w:val="000000"/>
        </w:rPr>
        <w:t></w:t>
      </w:r>
      <w:r>
        <w:rPr>
          <w:rFonts w:ascii="TimesNewRomanPSMT" w:hAnsi="TimesNewRomanPSMT"/>
          <w:color w:val="000000"/>
        </w:rPr>
        <w:t>-</w:t>
      </w:r>
      <w:r>
        <w:rPr>
          <w:rFonts w:ascii="TimesNewRomanPSMT" w:hAnsi="TimesNewRomanPSMT"/>
          <w:color w:val="000000"/>
        </w:rPr>
        <w:t xml:space="preserve"> L’accompagnement des publics, en particulier les jeunes et les personnes sous-main de </w:t>
      </w:r>
      <w:r>
        <w:rPr>
          <w:rFonts w:ascii="TimesNewRomanPSMT" w:hAnsi="TimesNewRomanPSMT"/>
          <w:color w:val="000000"/>
        </w:rPr>
        <w:tab/>
        <w:t xml:space="preserve">justice, exposés à la délinquance ou à la récidive du fait de la consommation de produits     </w:t>
      </w:r>
      <w:r>
        <w:rPr>
          <w:rFonts w:ascii="TimesNewRomanPSMT" w:hAnsi="TimesNewRomanPSMT"/>
          <w:color w:val="000000"/>
        </w:rPr>
        <w:tab/>
        <w:t>psychoactifs, notamment de produits stupéfiants, dans un cadre innovant.</w:t>
      </w:r>
    </w:p>
    <w:p w:rsidR="00996149" w:rsidRDefault="00DA4C36">
      <w:pPr>
        <w:pStyle w:val="Standard"/>
        <w:tabs>
          <w:tab w:val="left" w:pos="720"/>
        </w:tabs>
        <w:spacing w:line="276" w:lineRule="exact"/>
        <w:jc w:val="both"/>
        <w:rPr>
          <w:rFonts w:eastAsia="Times New Roman" w:cs="Times New Roman"/>
          <w:shd w:val="clear" w:color="auto" w:fill="FFFFFF"/>
        </w:rPr>
      </w:pPr>
      <w:r>
        <w:rPr>
          <w:rFonts w:ascii="TimesNewRomanPSMT" w:eastAsia="Times New Roman" w:hAnsi="TimesNewRomanPSMT" w:cs="Times New Roman"/>
          <w:color w:val="000000"/>
          <w:shd w:val="clear" w:color="auto" w:fill="FFFFFF"/>
        </w:rPr>
        <w:lastRenderedPageBreak/>
        <w:tab/>
      </w:r>
      <w:r>
        <w:rPr>
          <w:rFonts w:ascii="Wingdings" w:eastAsia="Wingdings" w:hAnsi="Wingdings" w:cs="Wingdings"/>
          <w:color w:val="000000"/>
          <w:shd w:val="clear" w:color="auto" w:fill="FFFFFF"/>
        </w:rPr>
        <w:t></w:t>
      </w:r>
      <w:r>
        <w:rPr>
          <w:rFonts w:ascii="TimesNewRomanPSMT" w:hAnsi="TimesNewRomanPSMT"/>
          <w:color w:val="000000"/>
          <w:shd w:val="clear" w:color="auto" w:fill="FFFFFF"/>
        </w:rPr>
        <w:t xml:space="preserve">- </w:t>
      </w:r>
      <w:r>
        <w:rPr>
          <w:rFonts w:ascii="TimesNewRomanPSMT" w:eastAsia="Times New Roman" w:hAnsi="TimesNewRomanPSMT" w:cs="Times New Roman"/>
          <w:color w:val="000000"/>
          <w:shd w:val="clear" w:color="auto" w:fill="FFFFFF"/>
        </w:rPr>
        <w:t>La prévention de l’entrée ou du maintien dans les trafics de produits stupéfiants.</w:t>
      </w:r>
    </w:p>
    <w:p w:rsidR="00996149" w:rsidRDefault="00996149">
      <w:pPr>
        <w:pStyle w:val="Standard"/>
        <w:tabs>
          <w:tab w:val="left" w:pos="720"/>
        </w:tabs>
        <w:spacing w:line="276" w:lineRule="exact"/>
        <w:jc w:val="both"/>
        <w:rPr>
          <w:rFonts w:ascii="TimesNewRomanPS-BoldMT" w:hAnsi="TimesNewRomanPS-BoldMT" w:hint="eastAsia"/>
          <w:b/>
          <w:color w:val="000000"/>
          <w:shd w:val="clear" w:color="auto" w:fill="FFFFFF"/>
        </w:rPr>
      </w:pPr>
    </w:p>
    <w:p w:rsidR="00996149" w:rsidRDefault="00996149">
      <w:pPr>
        <w:pStyle w:val="Standard"/>
        <w:tabs>
          <w:tab w:val="left" w:pos="720"/>
        </w:tabs>
        <w:spacing w:line="276" w:lineRule="exact"/>
        <w:jc w:val="both"/>
        <w:rPr>
          <w:rFonts w:ascii="TimesNewRomanPSMT" w:hAnsi="TimesNewRomanPSMT" w:hint="eastAsia"/>
          <w:color w:val="000000"/>
          <w:shd w:val="clear" w:color="auto" w:fill="FFFFFF"/>
        </w:rPr>
      </w:pPr>
    </w:p>
    <w:p w:rsidR="00996149" w:rsidRDefault="00DA4C36">
      <w:pPr>
        <w:pStyle w:val="Standard"/>
        <w:tabs>
          <w:tab w:val="left" w:pos="720"/>
        </w:tabs>
        <w:spacing w:line="276" w:lineRule="exact"/>
        <w:jc w:val="both"/>
        <w:rPr>
          <w:rFonts w:eastAsia="Times New Roman" w:cs="Times New Roman"/>
          <w:color w:val="000000"/>
          <w:u w:val="single"/>
          <w:shd w:val="clear" w:color="auto" w:fill="FFFFFF"/>
        </w:rPr>
      </w:pPr>
      <w:r>
        <w:rPr>
          <w:rFonts w:eastAsia="Times New Roman" w:cs="Times New Roman"/>
          <w:color w:val="000000"/>
          <w:u w:val="single"/>
          <w:shd w:val="clear" w:color="auto" w:fill="FFFFFF"/>
        </w:rPr>
        <w:t>LES TERRITOIRES</w:t>
      </w:r>
    </w:p>
    <w:p w:rsidR="00996149" w:rsidRDefault="00996149">
      <w:pPr>
        <w:pStyle w:val="Standard"/>
        <w:tabs>
          <w:tab w:val="left" w:pos="720"/>
        </w:tabs>
        <w:spacing w:line="276" w:lineRule="exact"/>
        <w:jc w:val="both"/>
        <w:rPr>
          <w:rFonts w:ascii="Liberation Sans" w:eastAsia="Liberation Sans" w:hAnsi="Liberation Sans" w:cs="Liberation Sans"/>
          <w:color w:val="000000"/>
          <w:shd w:val="clear" w:color="auto" w:fill="FFFFFF"/>
        </w:rPr>
      </w:pPr>
    </w:p>
    <w:p w:rsidR="00996149" w:rsidRDefault="00DA4C36">
      <w:pPr>
        <w:pStyle w:val="Standard"/>
        <w:tabs>
          <w:tab w:val="left" w:pos="720"/>
        </w:tabs>
        <w:spacing w:line="276" w:lineRule="exact"/>
        <w:jc w:val="both"/>
        <w:rPr>
          <w:rFonts w:eastAsia="Times New Roman" w:cs="Times New Roman"/>
          <w:color w:val="000000"/>
          <w:shd w:val="clear" w:color="auto" w:fill="FFFFFF"/>
        </w:rPr>
      </w:pPr>
      <w:r>
        <w:rPr>
          <w:rFonts w:eastAsia="Times New Roman" w:cs="Times New Roman"/>
          <w:color w:val="000000"/>
          <w:shd w:val="clear" w:color="auto" w:fill="FFFFFF"/>
        </w:rPr>
        <w:t xml:space="preserve">La MILD&amp;CA n’a pas de géographie prioritaire. Les actions prévues au sein de quartiers politiques de la ville feront l’objet d’une attention </w:t>
      </w:r>
      <w:r>
        <w:rPr>
          <w:rFonts w:eastAsia="Times New Roman" w:cs="Times New Roman"/>
          <w:color w:val="000000"/>
          <w:shd w:val="clear" w:color="auto" w:fill="FFFFFF"/>
        </w:rPr>
        <w:t>particulière, et les territoires ruraux ne doivent pas être oubliés.</w:t>
      </w:r>
    </w:p>
    <w:p w:rsidR="00996149" w:rsidRDefault="00996149">
      <w:pPr>
        <w:pStyle w:val="Standard"/>
        <w:tabs>
          <w:tab w:val="left" w:pos="720"/>
        </w:tabs>
        <w:spacing w:line="276" w:lineRule="exact"/>
        <w:jc w:val="both"/>
        <w:rPr>
          <w:rFonts w:eastAsia="Times New Roman" w:cs="Times New Roman"/>
          <w:color w:val="000000"/>
          <w:u w:val="single"/>
          <w:shd w:val="clear" w:color="auto" w:fill="FFFFFF"/>
        </w:rPr>
      </w:pPr>
    </w:p>
    <w:p w:rsidR="00996149" w:rsidRDefault="00996149">
      <w:pPr>
        <w:pStyle w:val="Standard"/>
        <w:tabs>
          <w:tab w:val="left" w:pos="720"/>
        </w:tabs>
        <w:spacing w:line="276" w:lineRule="exact"/>
        <w:jc w:val="both"/>
        <w:rPr>
          <w:rFonts w:eastAsia="Times New Roman" w:cs="Times New Roman"/>
          <w:color w:val="000000"/>
          <w:u w:val="single"/>
          <w:shd w:val="clear" w:color="auto" w:fill="FFFFFF"/>
        </w:rPr>
      </w:pPr>
    </w:p>
    <w:p w:rsidR="00996149" w:rsidRDefault="00DA4C36">
      <w:pPr>
        <w:pStyle w:val="Standard"/>
        <w:tabs>
          <w:tab w:val="left" w:pos="720"/>
        </w:tabs>
        <w:spacing w:line="276" w:lineRule="exact"/>
        <w:jc w:val="both"/>
        <w:rPr>
          <w:rFonts w:eastAsia="Times New Roman" w:cs="Times New Roman"/>
          <w:color w:val="000000"/>
          <w:u w:val="single"/>
          <w:shd w:val="clear" w:color="auto" w:fill="FFFFFF"/>
        </w:rPr>
      </w:pPr>
      <w:r>
        <w:rPr>
          <w:rFonts w:eastAsia="Times New Roman" w:cs="Times New Roman"/>
          <w:color w:val="000000"/>
          <w:u w:val="single"/>
          <w:shd w:val="clear" w:color="auto" w:fill="FFFFFF"/>
        </w:rPr>
        <w:t>DISPOSITIONS PARTICULIÈRES</w:t>
      </w:r>
    </w:p>
    <w:p w:rsidR="00996149" w:rsidRDefault="00996149">
      <w:pPr>
        <w:pStyle w:val="Standard"/>
        <w:tabs>
          <w:tab w:val="left" w:pos="720"/>
        </w:tabs>
        <w:spacing w:line="276" w:lineRule="exact"/>
        <w:jc w:val="both"/>
        <w:rPr>
          <w:rFonts w:ascii="Liberation Sans" w:eastAsia="Liberation Sans" w:hAnsi="Liberation Sans" w:cs="Liberation Sans"/>
          <w:color w:val="000000"/>
          <w:shd w:val="clear" w:color="auto" w:fill="FFFFFF"/>
        </w:rPr>
      </w:pPr>
    </w:p>
    <w:p w:rsidR="00996149" w:rsidRDefault="00DA4C36">
      <w:pPr>
        <w:pStyle w:val="Standard"/>
        <w:tabs>
          <w:tab w:val="left" w:pos="720"/>
        </w:tabs>
        <w:spacing w:after="200" w:line="276" w:lineRule="exact"/>
        <w:jc w:val="both"/>
        <w:rPr>
          <w:rFonts w:eastAsia="Times New Roman" w:cs="Times New Roman"/>
          <w:color w:val="000000"/>
          <w:shd w:val="clear" w:color="auto" w:fill="FFFFFF"/>
        </w:rPr>
      </w:pPr>
      <w:r>
        <w:rPr>
          <w:rFonts w:eastAsia="Times New Roman" w:cs="Times New Roman"/>
          <w:color w:val="000000"/>
          <w:shd w:val="clear" w:color="auto" w:fill="FFFFFF"/>
        </w:rPr>
        <w:t xml:space="preserve">La MILD&amp;CA et le Secrétariat général du CIPDR s’associent depuis 2015 pour assurer une meilleure synergie entre les politiques publiques qu’ils sont chargés </w:t>
      </w:r>
      <w:r>
        <w:rPr>
          <w:rFonts w:eastAsia="Times New Roman" w:cs="Times New Roman"/>
          <w:color w:val="000000"/>
          <w:shd w:val="clear" w:color="auto" w:fill="FFFFFF"/>
        </w:rPr>
        <w:t>de mettre en œuvre.</w:t>
      </w:r>
    </w:p>
    <w:p w:rsidR="00996149" w:rsidRDefault="00DA4C36">
      <w:pPr>
        <w:pStyle w:val="Standard"/>
        <w:tabs>
          <w:tab w:val="left" w:pos="720"/>
        </w:tabs>
        <w:spacing w:after="200" w:line="276" w:lineRule="exact"/>
        <w:jc w:val="both"/>
        <w:rPr>
          <w:color w:val="000000"/>
        </w:rPr>
      </w:pPr>
      <w:r>
        <w:rPr>
          <w:color w:val="000000"/>
        </w:rPr>
        <w:t xml:space="preserve">Cette politique vise à accroître le cofinancement d’actions entrant dans le champ de ces deux politiques. Il convient de poursuivre cette dynamique pour 2019, qui </w:t>
      </w:r>
      <w:r>
        <w:rPr>
          <w:rFonts w:eastAsia="Times New Roman" w:cs="Times New Roman"/>
          <w:color w:val="000000"/>
        </w:rPr>
        <w:t>sera principalement axée notamment autour de deux thématiques :</w:t>
      </w:r>
    </w:p>
    <w:p w:rsidR="00996149" w:rsidRDefault="00DA4C36">
      <w:pPr>
        <w:pStyle w:val="Standard"/>
        <w:tabs>
          <w:tab w:val="left" w:pos="720"/>
        </w:tabs>
        <w:spacing w:after="200" w:line="276" w:lineRule="exact"/>
        <w:jc w:val="both"/>
        <w:rPr>
          <w:rFonts w:eastAsia="Times New Roman" w:cs="Times New Roman"/>
          <w:color w:val="000000"/>
        </w:rPr>
      </w:pPr>
      <w:r>
        <w:rPr>
          <w:rFonts w:eastAsia="Times New Roman" w:cs="Times New Roman"/>
          <w:color w:val="000000"/>
        </w:rPr>
        <w:t>- l’acc</w:t>
      </w:r>
      <w:r>
        <w:rPr>
          <w:rFonts w:eastAsia="Times New Roman" w:cs="Times New Roman"/>
          <w:color w:val="000000"/>
        </w:rPr>
        <w:t>ompagnement des publics, en particulier des jeunes placés sous-main de justice, exposés à la délinquance ou à la récidive du fait de la consommation de produits psychoactifs, notamment de produits stupéfiants, y compris dans un cadre innovant ;</w:t>
      </w:r>
    </w:p>
    <w:p w:rsidR="00996149" w:rsidRDefault="00DA4C36">
      <w:pPr>
        <w:pStyle w:val="Standard"/>
        <w:tabs>
          <w:tab w:val="left" w:pos="720"/>
        </w:tabs>
        <w:spacing w:after="200" w:line="276" w:lineRule="exact"/>
        <w:jc w:val="both"/>
      </w:pPr>
      <w:r>
        <w:rPr>
          <w:rFonts w:eastAsia="Times New Roman" w:cs="Times New Roman"/>
          <w:color w:val="00000A"/>
        </w:rPr>
        <w:t>- la préve</w:t>
      </w:r>
      <w:r>
        <w:rPr>
          <w:rFonts w:eastAsia="Times New Roman" w:cs="Times New Roman"/>
          <w:color w:val="00000A"/>
        </w:rPr>
        <w:t>ntion des trafics de produits stupéfiants.</w:t>
      </w:r>
    </w:p>
    <w:p w:rsidR="00996149" w:rsidRDefault="00DA4C36">
      <w:pPr>
        <w:pStyle w:val="Standard"/>
        <w:tabs>
          <w:tab w:val="left" w:pos="720"/>
        </w:tabs>
        <w:spacing w:after="200" w:line="276" w:lineRule="exact"/>
        <w:jc w:val="both"/>
      </w:pPr>
      <w:r>
        <w:rPr>
          <w:color w:val="000000"/>
        </w:rPr>
        <w:t>Cette démarche</w:t>
      </w:r>
      <w:r>
        <w:t>, dans laquelle s’inscrit à nouveau la présente instruction, crée l’occasion de réaliser une construction conjointe de projets pouvant être, le cas échéant, financés simultanément par les crédits du</w:t>
      </w:r>
      <w:r>
        <w:t xml:space="preserve"> FIPD et par les crédits de la MILD&amp;CA. En revanche, </w:t>
      </w:r>
      <w:r>
        <w:rPr>
          <w:color w:val="000000"/>
        </w:rPr>
        <w:t xml:space="preserve">les appels à projet demeureront distincts et </w:t>
      </w:r>
      <w:r>
        <w:t>devront faire mention de la possibilité d’un tel cofinancement.</w:t>
      </w:r>
    </w:p>
    <w:p w:rsidR="00996149" w:rsidRDefault="00996149">
      <w:pPr>
        <w:pStyle w:val="Standard"/>
        <w:tabs>
          <w:tab w:val="left" w:pos="720"/>
        </w:tabs>
        <w:spacing w:line="276" w:lineRule="exact"/>
        <w:jc w:val="both"/>
        <w:rPr>
          <w:rFonts w:eastAsia="Times New Roman" w:cs="Times New Roman"/>
          <w:color w:val="00000A"/>
          <w:u w:val="single"/>
          <w:shd w:val="clear" w:color="auto" w:fill="FFFFFF"/>
        </w:rPr>
      </w:pPr>
    </w:p>
    <w:p w:rsidR="00996149" w:rsidRDefault="00DA4C36">
      <w:pPr>
        <w:pStyle w:val="Standard"/>
        <w:tabs>
          <w:tab w:val="left" w:pos="720"/>
        </w:tabs>
        <w:spacing w:line="276" w:lineRule="exact"/>
        <w:jc w:val="both"/>
        <w:rPr>
          <w:rFonts w:eastAsia="Times New Roman" w:cs="Times New Roman"/>
          <w:color w:val="00000A"/>
          <w:u w:val="single"/>
          <w:shd w:val="clear" w:color="auto" w:fill="FFFFFF"/>
        </w:rPr>
      </w:pPr>
      <w:r>
        <w:rPr>
          <w:rFonts w:eastAsia="Times New Roman" w:cs="Times New Roman"/>
          <w:color w:val="00000A"/>
          <w:u w:val="single"/>
          <w:shd w:val="clear" w:color="auto" w:fill="FFFFFF"/>
        </w:rPr>
        <w:t>LA PROCÉDURE DE DÉPÔT DES DOSSIERS</w:t>
      </w:r>
    </w:p>
    <w:p w:rsidR="00996149" w:rsidRDefault="00996149">
      <w:pPr>
        <w:pStyle w:val="Standard"/>
        <w:tabs>
          <w:tab w:val="left" w:pos="720"/>
        </w:tabs>
        <w:spacing w:line="276" w:lineRule="exact"/>
        <w:jc w:val="both"/>
        <w:rPr>
          <w:rFonts w:ascii="Liberation Sans" w:eastAsia="Liberation Sans" w:hAnsi="Liberation Sans" w:cs="Liberation Sans"/>
          <w:color w:val="00000A"/>
          <w:shd w:val="clear" w:color="auto" w:fill="FFFFFF"/>
        </w:rPr>
      </w:pPr>
    </w:p>
    <w:p w:rsidR="00996149" w:rsidRDefault="00DA4C36">
      <w:pPr>
        <w:pStyle w:val="Standard"/>
        <w:tabs>
          <w:tab w:val="left" w:pos="720"/>
        </w:tabs>
        <w:spacing w:line="276" w:lineRule="exact"/>
        <w:jc w:val="both"/>
        <w:rPr>
          <w:rFonts w:eastAsia="Times New Roman" w:cs="Times New Roman"/>
          <w:color w:val="00000A"/>
          <w:shd w:val="clear" w:color="auto" w:fill="FFFFFF"/>
        </w:rPr>
      </w:pPr>
      <w:r>
        <w:rPr>
          <w:rFonts w:eastAsia="Times New Roman" w:cs="Times New Roman"/>
          <w:color w:val="00000A"/>
          <w:shd w:val="clear" w:color="auto" w:fill="FFFFFF"/>
        </w:rPr>
        <w:t>Le dossier unique de demande de subvention (</w:t>
      </w:r>
      <w:proofErr w:type="spellStart"/>
      <w:r>
        <w:rPr>
          <w:rFonts w:eastAsia="Times New Roman" w:cs="Times New Roman"/>
          <w:color w:val="00000A"/>
          <w:shd w:val="clear" w:color="auto" w:fill="FFFFFF"/>
        </w:rPr>
        <w:t>Cerfa</w:t>
      </w:r>
      <w:proofErr w:type="spellEnd"/>
      <w:r>
        <w:rPr>
          <w:rFonts w:eastAsia="Times New Roman" w:cs="Times New Roman"/>
          <w:color w:val="00000A"/>
          <w:shd w:val="clear" w:color="auto" w:fill="FFFFFF"/>
        </w:rPr>
        <w:t xml:space="preserve"> </w:t>
      </w:r>
      <w:r>
        <w:rPr>
          <w:rFonts w:eastAsia="Times New Roman" w:cs="Times New Roman"/>
          <w:color w:val="00000A"/>
          <w:shd w:val="clear" w:color="auto" w:fill="FFFFFF"/>
        </w:rPr>
        <w:t>N°12156*05) est utilisé par les porteurs de projets pour le dépôt de leurs dossiers. Il est téléchargeable à partir du site :</w:t>
      </w:r>
    </w:p>
    <w:p w:rsidR="00996149" w:rsidRDefault="00DA4C36">
      <w:pPr>
        <w:pStyle w:val="Standard"/>
        <w:tabs>
          <w:tab w:val="left" w:pos="720"/>
        </w:tabs>
        <w:spacing w:line="276" w:lineRule="exact"/>
        <w:jc w:val="both"/>
      </w:pPr>
      <w:hyperlink r:id="rId8" w:history="1">
        <w:r>
          <w:rPr>
            <w:rFonts w:eastAsia="Times New Roman" w:cs="Times New Roman"/>
            <w:color w:val="0000FF"/>
            <w:u w:val="single"/>
            <w:shd w:val="clear" w:color="auto" w:fill="FFFFFF"/>
          </w:rPr>
          <w:t>https://www.service-public.fr/associations/vosdroits/</w:t>
        </w:r>
        <w:r>
          <w:rPr>
            <w:rFonts w:eastAsia="Times New Roman" w:cs="Times New Roman"/>
            <w:color w:val="0000FF"/>
            <w:u w:val="single"/>
            <w:shd w:val="clear" w:color="auto" w:fill="FFFFFF"/>
          </w:rPr>
          <w:t>R1271</w:t>
        </w:r>
      </w:hyperlink>
      <w:r>
        <w:rPr>
          <w:rFonts w:eastAsia="Times New Roman" w:cs="Times New Roman"/>
          <w:color w:val="00000A"/>
          <w:shd w:val="clear" w:color="auto" w:fill="FFFFFF"/>
        </w:rPr>
        <w:t>. Vous le trouverez également en pièce jointe.</w:t>
      </w:r>
    </w:p>
    <w:p w:rsidR="00996149" w:rsidRDefault="00996149">
      <w:pPr>
        <w:pStyle w:val="Standard"/>
        <w:tabs>
          <w:tab w:val="left" w:pos="720"/>
        </w:tabs>
        <w:spacing w:line="276" w:lineRule="exact"/>
        <w:jc w:val="both"/>
        <w:rPr>
          <w:rFonts w:ascii="Liberation Sans" w:eastAsia="Liberation Sans" w:hAnsi="Liberation Sans" w:cs="Liberation Sans"/>
          <w:color w:val="00000A"/>
          <w:shd w:val="clear" w:color="auto" w:fill="FFFFFF"/>
        </w:rPr>
      </w:pPr>
    </w:p>
    <w:p w:rsidR="00996149" w:rsidRDefault="00DA4C36">
      <w:pPr>
        <w:pStyle w:val="Standard"/>
        <w:tabs>
          <w:tab w:val="left" w:pos="720"/>
        </w:tabs>
        <w:spacing w:line="276" w:lineRule="exact"/>
        <w:jc w:val="both"/>
      </w:pPr>
      <w:r>
        <w:rPr>
          <w:rFonts w:eastAsia="Times New Roman" w:cs="Times New Roman"/>
          <w:color w:val="00000A"/>
          <w:shd w:val="clear" w:color="auto" w:fill="FFFFFF"/>
        </w:rPr>
        <w:t xml:space="preserve">Des éléments sur papier libre pourront, si besoin, compléter les informations mentionnées sur le dossier </w:t>
      </w:r>
      <w:proofErr w:type="spellStart"/>
      <w:r>
        <w:rPr>
          <w:rFonts w:eastAsia="Times New Roman" w:cs="Times New Roman"/>
          <w:color w:val="00000A"/>
          <w:shd w:val="clear" w:color="auto" w:fill="FFFFFF"/>
        </w:rPr>
        <w:t>Cer</w:t>
      </w:r>
      <w:r>
        <w:rPr>
          <w:rFonts w:eastAsia="Times New Roman" w:cs="Times New Roman"/>
          <w:color w:val="000000"/>
          <w:shd w:val="clear" w:color="auto" w:fill="FFFFFF"/>
        </w:rPr>
        <w:t>fa</w:t>
      </w:r>
      <w:proofErr w:type="spellEnd"/>
      <w:r>
        <w:rPr>
          <w:rFonts w:eastAsia="Times New Roman" w:cs="Times New Roman"/>
          <w:color w:val="000000"/>
          <w:shd w:val="clear" w:color="auto" w:fill="FFFFFF"/>
        </w:rPr>
        <w:t xml:space="preserve">. Un bilan intermédiaire doit être fourni lors du dépôt de projets concernant les actions en </w:t>
      </w:r>
      <w:r>
        <w:rPr>
          <w:rFonts w:eastAsia="Times New Roman" w:cs="Times New Roman"/>
          <w:color w:val="000000"/>
          <w:shd w:val="clear" w:color="auto" w:fill="FFFFFF"/>
        </w:rPr>
        <w:t>reconduction</w:t>
      </w:r>
      <w:r>
        <w:rPr>
          <w:rFonts w:eastAsia="Times New Roman" w:cs="Times New Roman"/>
          <w:color w:val="000000"/>
        </w:rPr>
        <w:t xml:space="preserve"> ou en financement pluriannuel.</w:t>
      </w:r>
    </w:p>
    <w:p w:rsidR="00996149" w:rsidRDefault="00996149">
      <w:pPr>
        <w:pStyle w:val="Standard"/>
        <w:tabs>
          <w:tab w:val="left" w:pos="720"/>
        </w:tabs>
        <w:spacing w:line="276" w:lineRule="exact"/>
        <w:jc w:val="both"/>
        <w:rPr>
          <w:rFonts w:ascii="Liberation Sans" w:eastAsia="Liberation Sans" w:hAnsi="Liberation Sans" w:cs="Liberation Sans"/>
          <w:color w:val="000000"/>
          <w:shd w:val="clear" w:color="auto" w:fill="FFFFFF"/>
        </w:rPr>
      </w:pPr>
    </w:p>
    <w:p w:rsidR="00996149" w:rsidRDefault="00DA4C36">
      <w:pPr>
        <w:pStyle w:val="Standard"/>
        <w:tabs>
          <w:tab w:val="left" w:pos="720"/>
        </w:tabs>
        <w:spacing w:line="276" w:lineRule="exact"/>
        <w:jc w:val="both"/>
        <w:rPr>
          <w:color w:val="000000"/>
        </w:rPr>
      </w:pPr>
      <w:r>
        <w:rPr>
          <w:rFonts w:eastAsia="Times New Roman" w:cs="Times New Roman"/>
          <w:color w:val="000000"/>
          <w:shd w:val="clear" w:color="auto" w:fill="FFFFFF"/>
        </w:rPr>
        <w:t xml:space="preserve">Les dossiers sont à déposer avant le </w:t>
      </w:r>
      <w:r>
        <w:rPr>
          <w:rFonts w:eastAsia="Times New Roman" w:cs="Times New Roman"/>
          <w:b/>
          <w:bCs/>
          <w:color w:val="000000"/>
          <w:shd w:val="clear" w:color="auto" w:fill="FFFFFF"/>
        </w:rPr>
        <w:t>17</w:t>
      </w:r>
      <w:r>
        <w:rPr>
          <w:rFonts w:eastAsia="Times New Roman" w:cs="Times New Roman"/>
          <w:b/>
          <w:bCs/>
          <w:color w:val="000000"/>
          <w:shd w:val="clear" w:color="auto" w:fill="FFFFFF"/>
        </w:rPr>
        <w:t xml:space="preserve"> mai 2019.</w:t>
      </w:r>
    </w:p>
    <w:p w:rsidR="00996149" w:rsidRDefault="00996149">
      <w:pPr>
        <w:pStyle w:val="Standard"/>
        <w:tabs>
          <w:tab w:val="left" w:pos="720"/>
        </w:tabs>
        <w:spacing w:line="276" w:lineRule="exact"/>
        <w:jc w:val="both"/>
        <w:rPr>
          <w:color w:val="000000"/>
        </w:rPr>
      </w:pPr>
    </w:p>
    <w:p w:rsidR="00996149" w:rsidRDefault="00DA4C36">
      <w:pPr>
        <w:pStyle w:val="Standard"/>
        <w:tabs>
          <w:tab w:val="left" w:pos="720"/>
        </w:tabs>
        <w:spacing w:line="276" w:lineRule="exact"/>
        <w:jc w:val="both"/>
      </w:pPr>
      <w:r>
        <w:rPr>
          <w:rFonts w:eastAsia="Times New Roman" w:cs="Times New Roman"/>
          <w:color w:val="00000A"/>
          <w:shd w:val="clear" w:color="auto" w:fill="FFFFFF"/>
        </w:rPr>
        <w:t>- sous forme dématérialisée sur la boîte</w:t>
      </w:r>
      <w:r>
        <w:rPr>
          <w:rFonts w:eastAsia="Times New Roman" w:cs="Times New Roman"/>
          <w:color w:val="00000A"/>
        </w:rPr>
        <w:t xml:space="preserve"> fonctionnelle </w:t>
      </w:r>
      <w:r>
        <w:rPr>
          <w:rFonts w:eastAsia="Times New Roman" w:cs="Times New Roman"/>
          <w:color w:val="00000A"/>
          <w:shd w:val="clear" w:color="auto" w:fill="FFFFFF"/>
        </w:rPr>
        <w:t>:</w:t>
      </w:r>
    </w:p>
    <w:p w:rsidR="00996149" w:rsidRDefault="00DA4C36">
      <w:pPr>
        <w:pStyle w:val="Standard"/>
      </w:pPr>
      <w:r>
        <w:t xml:space="preserve">                 </w:t>
      </w:r>
      <w:hyperlink r:id="rId9" w:history="1">
        <w:r>
          <w:t>prefecturemildeca13@gmail.com</w:t>
        </w:r>
      </w:hyperlink>
    </w:p>
    <w:p w:rsidR="00996149" w:rsidRDefault="00996149">
      <w:pPr>
        <w:pStyle w:val="Standard"/>
        <w:tabs>
          <w:tab w:val="left" w:pos="720"/>
        </w:tabs>
        <w:spacing w:line="276" w:lineRule="exact"/>
        <w:jc w:val="both"/>
      </w:pPr>
    </w:p>
    <w:p w:rsidR="00996149" w:rsidRDefault="00996149">
      <w:pPr>
        <w:pStyle w:val="Standard"/>
        <w:tabs>
          <w:tab w:val="left" w:pos="720"/>
        </w:tabs>
        <w:spacing w:line="276" w:lineRule="exact"/>
        <w:jc w:val="both"/>
      </w:pPr>
    </w:p>
    <w:p w:rsidR="00996149" w:rsidRDefault="00DA4C36">
      <w:pPr>
        <w:pStyle w:val="Standard"/>
        <w:tabs>
          <w:tab w:val="left" w:pos="720"/>
        </w:tabs>
        <w:spacing w:line="276" w:lineRule="exact"/>
        <w:jc w:val="both"/>
        <w:rPr>
          <w:rFonts w:ascii="TimesNewRomanPSMT" w:hAnsi="TimesNewRomanPSMT" w:hint="eastAsia"/>
          <w:color w:val="000000"/>
          <w:shd w:val="clear" w:color="auto" w:fill="FFFFFF"/>
        </w:rPr>
      </w:pPr>
      <w:r>
        <w:rPr>
          <w:rFonts w:eastAsia="Times New Roman" w:cs="Times New Roman"/>
          <w:color w:val="00000A"/>
          <w:shd w:val="clear" w:color="auto" w:fill="FFFFFF"/>
        </w:rPr>
        <w:t xml:space="preserve">- par courrier postal à l’adresse : </w:t>
      </w:r>
      <w:r>
        <w:rPr>
          <w:rFonts w:eastAsia="Times New Roman" w:cs="Times New Roman"/>
          <w:color w:val="000000"/>
          <w:shd w:val="clear" w:color="auto" w:fill="FFFFFF"/>
        </w:rPr>
        <w:t xml:space="preserve">Cabinet de la préfète déléguée pour l’égalité </w:t>
      </w:r>
      <w:r>
        <w:rPr>
          <w:rFonts w:eastAsia="Times New Roman" w:cs="Times New Roman"/>
          <w:color w:val="000000"/>
          <w:shd w:val="clear" w:color="auto" w:fill="FFFFFF"/>
        </w:rPr>
        <w:t>des chances-</w:t>
      </w:r>
      <w:r>
        <w:rPr>
          <w:rFonts w:eastAsia="Times New Roman" w:cs="Times New Roman"/>
          <w:color w:val="00000A"/>
          <w:shd w:val="clear" w:color="auto" w:fill="FFFFFF"/>
        </w:rPr>
        <w:t xml:space="preserve"> Préfecture des Bouches-du-Rhône – Place Félix Baret – CS 80001 – 13282 Marseille Cedex 6.</w:t>
      </w:r>
    </w:p>
    <w:sectPr w:rsidR="00996149">
      <w:headerReference w:type="default" r:id="rId10"/>
      <w:footerReference w:type="default" r:id="rId11"/>
      <w:pgSz w:w="11906" w:h="16838"/>
      <w:pgMar w:top="907" w:right="1134" w:bottom="1134" w:left="1134" w:header="85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C36" w:rsidRDefault="00DA4C36">
      <w:r>
        <w:separator/>
      </w:r>
    </w:p>
  </w:endnote>
  <w:endnote w:type="continuationSeparator" w:id="0">
    <w:p w:rsidR="00DA4C36" w:rsidRDefault="00DA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OpenSymbol">
    <w:altName w:val="Segoe UI Symbol"/>
    <w:charset w:val="02"/>
    <w:family w:val="auto"/>
    <w:pitch w:val="default"/>
  </w:font>
  <w:font w:name="TimesNewRomanPS-BoldMT">
    <w:altName w:val="Times New Roman"/>
    <w:charset w:val="00"/>
    <w:family w:val="roman"/>
    <w:pitch w:val="variable"/>
  </w:font>
  <w:font w:name="TimesNewRomanPSMT">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5AB" w:rsidRDefault="00DA4C36">
    <w:pPr>
      <w:pStyle w:val="Standard"/>
      <w:rPr>
        <w:sz w:val="16"/>
        <w:szCs w:val="16"/>
      </w:rPr>
    </w:pPr>
    <w:r>
      <w:rPr>
        <w:color w:val="000000"/>
        <w:sz w:val="14"/>
        <w:szCs w:val="14"/>
      </w:rPr>
      <w:t xml:space="preserve">1- </w:t>
    </w:r>
    <w:hyperlink r:id="rId1" w:history="1">
      <w:r>
        <w:rPr>
          <w:color w:val="000080"/>
          <w:sz w:val="14"/>
          <w:szCs w:val="14"/>
        </w:rPr>
        <w:t>https://www.drogues.gouv.fr/la-mildeca/le-plan-gouvernemental/mobilisation-2018-2022</w:t>
      </w:r>
    </w:hyperlink>
  </w:p>
  <w:p w:rsidR="005065AB" w:rsidRDefault="00DA4C36">
    <w:pPr>
      <w:pStyle w:val="Standard"/>
      <w:rPr>
        <w:color w:val="000000"/>
        <w:sz w:val="14"/>
        <w:szCs w:val="14"/>
      </w:rPr>
    </w:pPr>
    <w:r>
      <w:rPr>
        <w:color w:val="000000"/>
        <w:sz w:val="14"/>
        <w:szCs w:val="14"/>
      </w:rPr>
      <w:t>2</w:t>
    </w:r>
    <w:proofErr w:type="gramStart"/>
    <w:r>
      <w:rPr>
        <w:color w:val="000000"/>
        <w:sz w:val="14"/>
        <w:szCs w:val="14"/>
      </w:rPr>
      <w:t xml:space="preserve">-  </w:t>
    </w:r>
    <w:r>
      <w:rPr>
        <w:color w:val="000000"/>
        <w:sz w:val="14"/>
        <w:szCs w:val="14"/>
      </w:rPr>
      <w:t>CJC</w:t>
    </w:r>
    <w:proofErr w:type="gramEnd"/>
    <w:r>
      <w:rPr>
        <w:color w:val="000000"/>
        <w:sz w:val="14"/>
        <w:szCs w:val="14"/>
      </w:rPr>
      <w:t xml:space="preserve">: Consultations Jeunes Consommateurs, CSAPA: Centres de </w:t>
    </w:r>
    <w:r>
      <w:rPr>
        <w:color w:val="000000"/>
        <w:sz w:val="14"/>
        <w:szCs w:val="14"/>
      </w:rPr>
      <w:t>Soin, d'Accompagnement et de Prévention en Addictologie,</w:t>
    </w:r>
  </w:p>
  <w:p w:rsidR="005065AB" w:rsidRDefault="00DA4C36">
    <w:pPr>
      <w:pStyle w:val="Standard"/>
      <w:rPr>
        <w:color w:val="000000"/>
        <w:sz w:val="14"/>
        <w:szCs w:val="14"/>
      </w:rPr>
    </w:pPr>
    <w:proofErr w:type="gramStart"/>
    <w:r>
      <w:rPr>
        <w:color w:val="000000"/>
        <w:sz w:val="14"/>
        <w:szCs w:val="14"/>
      </w:rPr>
      <w:t>CAARUD:</w:t>
    </w:r>
    <w:proofErr w:type="gramEnd"/>
    <w:r>
      <w:rPr>
        <w:color w:val="000000"/>
        <w:sz w:val="14"/>
        <w:szCs w:val="14"/>
      </w:rPr>
      <w:t xml:space="preserve"> Centres d'Accueil et d'Accompagnement à la Réduction des risques pour Usagers de Drogues, ELSA: Équipes de Liaison</w:t>
    </w:r>
  </w:p>
  <w:p w:rsidR="005065AB" w:rsidRDefault="00DA4C36">
    <w:pPr>
      <w:pStyle w:val="Standard"/>
      <w:rPr>
        <w:color w:val="000000"/>
        <w:sz w:val="14"/>
        <w:szCs w:val="14"/>
      </w:rPr>
    </w:pPr>
    <w:proofErr w:type="gramStart"/>
    <w:r>
      <w:rPr>
        <w:color w:val="000000"/>
        <w:sz w:val="14"/>
        <w:szCs w:val="14"/>
      </w:rPr>
      <w:t>et</w:t>
    </w:r>
    <w:proofErr w:type="gramEnd"/>
    <w:r>
      <w:rPr>
        <w:color w:val="000000"/>
        <w:sz w:val="14"/>
        <w:szCs w:val="14"/>
      </w:rPr>
      <w:t xml:space="preserve"> de Soins en Addictologie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C36" w:rsidRDefault="00DA4C36">
      <w:r>
        <w:rPr>
          <w:color w:val="000000"/>
        </w:rPr>
        <w:separator/>
      </w:r>
    </w:p>
  </w:footnote>
  <w:footnote w:type="continuationSeparator" w:id="0">
    <w:p w:rsidR="00DA4C36" w:rsidRDefault="00DA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5AB" w:rsidRDefault="00DA4C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13955"/>
    <w:multiLevelType w:val="multilevel"/>
    <w:tmpl w:val="7660E6DA"/>
    <w:styleLink w:val="WWNum12"/>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7A2E062E"/>
    <w:multiLevelType w:val="multilevel"/>
    <w:tmpl w:val="935C9E36"/>
    <w:styleLink w:val="WWNum1"/>
    <w:lvl w:ilvl="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96149"/>
    <w:rsid w:val="00660FA5"/>
    <w:rsid w:val="00846579"/>
    <w:rsid w:val="00996149"/>
    <w:rsid w:val="00DA4C3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7CA24-5EE0-44C1-8D44-D60FB701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Standard"/>
    <w:next w:val="Standard"/>
    <w:uiPriority w:val="9"/>
    <w:qFormat/>
    <w:pPr>
      <w:keepNext/>
      <w:keepLines/>
      <w:spacing w:before="480"/>
      <w:outlineLvl w:val="0"/>
    </w:pPr>
    <w:rPr>
      <w:rFonts w:ascii="Cambria" w:eastAsia="SimSun" w:hAnsi="Cambria" w:cs="Mangal"/>
      <w:b/>
      <w:bCs/>
      <w:color w:val="365F91"/>
      <w:sz w:val="28"/>
      <w:szCs w:val="28"/>
    </w:rPr>
  </w:style>
  <w:style w:type="paragraph" w:styleId="Titre3">
    <w:name w:val="heading 3"/>
    <w:basedOn w:val="Heading"/>
    <w:next w:val="Textbody"/>
    <w:uiPriority w:val="9"/>
    <w:semiHidden/>
    <w:unhideWhenUsed/>
    <w:qFormat/>
    <w:pPr>
      <w:spacing w:before="140"/>
      <w:outlineLvl w:val="2"/>
    </w:pPr>
    <w:rPr>
      <w:rFonts w:ascii="Liberation Serif" w:hAnsi="Liberation Serif"/>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rFonts w:eastAsia="Arial Unicode MS" w:cs="Tahoma"/>
      <w:lang/>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Liste">
    <w:name w:val="List"/>
    <w:basedOn w:val="Textbody"/>
  </w:style>
  <w:style w:type="paragraph" w:styleId="En-tte">
    <w:name w:val="header"/>
    <w:basedOn w:val="Standard"/>
    <w:pPr>
      <w:suppressLineNumbers/>
      <w:tabs>
        <w:tab w:val="center" w:pos="4818"/>
        <w:tab w:val="right" w:pos="9637"/>
      </w:tabs>
    </w:pPr>
  </w:style>
  <w:style w:type="paragraph" w:styleId="Pieddepage">
    <w:name w:val="foot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re">
    <w:name w:val="Title"/>
    <w:basedOn w:val="Standard"/>
    <w:next w:val="Textbody"/>
    <w:uiPriority w:val="10"/>
    <w:qFormat/>
    <w:pPr>
      <w:keepNext/>
      <w:spacing w:before="240" w:after="120"/>
    </w:pPr>
    <w:rPr>
      <w:rFonts w:ascii="Arial" w:eastAsia="MS Mincho" w:hAnsi="Arial"/>
      <w:sz w:val="28"/>
      <w:szCs w:val="28"/>
    </w:rPr>
  </w:style>
  <w:style w:type="paragraph" w:styleId="Sous-titre">
    <w:name w:val="Subtitle"/>
    <w:basedOn w:val="Heading"/>
    <w:next w:val="Textbody"/>
    <w:uiPriority w:val="11"/>
    <w:qFormat/>
    <w:pPr>
      <w:jc w:val="center"/>
    </w:pPr>
    <w:rPr>
      <w:i/>
      <w:iCs/>
    </w:rPr>
  </w:style>
  <w:style w:type="paragraph" w:customStyle="1" w:styleId="Footnote">
    <w:name w:val="Footnote"/>
    <w:basedOn w:val="Standard"/>
    <w:pPr>
      <w:suppressLineNumbers/>
      <w:ind w:left="339" w:hanging="339"/>
    </w:pPr>
    <w:rPr>
      <w:sz w:val="20"/>
      <w:szCs w:val="20"/>
    </w:rPr>
  </w:style>
  <w:style w:type="paragraph" w:styleId="Notedebasdepage">
    <w:name w:val="footnote text"/>
    <w:basedOn w:val="Standard"/>
    <w:rPr>
      <w:rFonts w:ascii="Calibri" w:eastAsia="Calibri" w:hAnsi="Calibri" w:cs="Calibri"/>
      <w:sz w:val="20"/>
      <w:szCs w:val="20"/>
    </w:rPr>
  </w:style>
  <w:style w:type="paragraph" w:styleId="Paragraphedeliste">
    <w:name w:val="List Paragraph"/>
    <w:basedOn w:val="Standard"/>
    <w:pPr>
      <w:ind w:left="720"/>
    </w:pPr>
  </w:style>
  <w:style w:type="paragraph" w:customStyle="1" w:styleId="Headerleft">
    <w:name w:val="Header left"/>
    <w:basedOn w:val="Standard"/>
  </w:style>
  <w:style w:type="paragraph" w:customStyle="1" w:styleId="Default">
    <w:name w:val="Default"/>
    <w:rPr>
      <w:rFonts w:ascii="Calibri" w:eastAsia="Calibri" w:hAnsi="Calibri" w:cs="Calibri"/>
      <w:color w:val="000000"/>
    </w:rPr>
  </w:style>
  <w:style w:type="character" w:customStyle="1" w:styleId="StrongEmphasis">
    <w:name w:val="Strong Emphasis"/>
    <w:rPr>
      <w:b/>
      <w:bCs/>
    </w:rPr>
  </w:style>
  <w:style w:type="character" w:customStyle="1" w:styleId="Internetlink">
    <w:name w:val="Internet link"/>
    <w:rPr>
      <w:color w:val="000080"/>
      <w:u w:val="single"/>
      <w:lang/>
    </w:rPr>
  </w:style>
  <w:style w:type="character" w:styleId="Appelnotedebasdep">
    <w:name w:val="footnote reference"/>
    <w:basedOn w:val="Policepardfaut"/>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VisitedInternetLink">
    <w:name w:val="Visited Internet Link"/>
    <w:rPr>
      <w:color w:val="800000"/>
      <w:u w:val="single"/>
      <w:lang/>
    </w:rPr>
  </w:style>
  <w:style w:type="character" w:styleId="Accentuation">
    <w:name w:val="Emphasis"/>
    <w:rPr>
      <w:i/>
      <w:iCs/>
    </w:rPr>
  </w:style>
  <w:style w:type="character" w:customStyle="1" w:styleId="acronym">
    <w:name w:val="acronym"/>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2">
    <w:name w:val="WWNum12"/>
    <w:basedOn w:val="Aucuneliste"/>
    <w:pPr>
      <w:numPr>
        <w:numId w:val="1"/>
      </w:numPr>
    </w:pPr>
  </w:style>
  <w:style w:type="numbering" w:customStyle="1" w:styleId="WWNum1">
    <w:name w:val="WWNum1"/>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ervice-public.fr/associations/vosdroits/R12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fecturemildeca13@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rogues.gouv.fr/la-mildeca/le-plan-gouvernemental/mobilisation-2018-2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pdsd/MODELES%20DE%20COURRIER%20N&#176;%203/NOTE%20DE%20DOSSIER.o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NOTE%20DE%20DOSSIER.ott</Template>
  <TotalTime>0</TotalTime>
  <Pages>4</Pages>
  <Words>1499</Words>
  <Characters>8245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Verriere</dc:creator>
  <cp:lastModifiedBy>Annexe</cp:lastModifiedBy>
  <cp:revision>2</cp:revision>
  <cp:lastPrinted>2019-03-08T17:46:00Z</cp:lastPrinted>
  <dcterms:created xsi:type="dcterms:W3CDTF">2019-05-07T15:49:00Z</dcterms:created>
  <dcterms:modified xsi:type="dcterms:W3CDTF">2019-05-07T15:49:00Z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